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465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10"/>
        <w:gridCol w:w="810"/>
        <w:gridCol w:w="1350"/>
        <w:gridCol w:w="976"/>
        <w:gridCol w:w="1209"/>
        <w:gridCol w:w="1230"/>
        <w:gridCol w:w="1230"/>
        <w:gridCol w:w="1223"/>
      </w:tblGrid>
      <w:tr w:rsidR="00B464E0" w:rsidRPr="00377DB6" w:rsidTr="00B464E0">
        <w:trPr>
          <w:trHeight w:val="1485"/>
        </w:trPr>
        <w:tc>
          <w:tcPr>
            <w:tcW w:w="9576" w:type="dxa"/>
            <w:gridSpan w:val="9"/>
          </w:tcPr>
          <w:p w:rsidR="00B464E0" w:rsidRPr="00B464E0" w:rsidRDefault="006B4AC8" w:rsidP="00B464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Supplementary Table 5</w:t>
            </w:r>
            <w:bookmarkStart w:id="0" w:name="_GoBack"/>
            <w:bookmarkEnd w:id="0"/>
            <w:r w:rsidR="00B464E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B464E0">
              <w:rPr>
                <w:rFonts w:ascii="Times New Roman" w:hAnsi="Times New Roman" w:cs="Times New Roman"/>
                <w:bCs/>
              </w:rPr>
              <w:t>Prediction of resistome using The Comprehensive Antibiotic Resistance Database (CARD): Resistance Gene Identifier (RGI) web portal</w:t>
            </w:r>
          </w:p>
        </w:tc>
      </w:tr>
      <w:tr w:rsidR="00377DB6" w:rsidRPr="00377DB6" w:rsidTr="00B464E0">
        <w:trPr>
          <w:trHeight w:val="148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RGI</w:t>
            </w:r>
          </w:p>
        </w:tc>
        <w:tc>
          <w:tcPr>
            <w:tcW w:w="810" w:type="dxa"/>
            <w:vMerge w:val="restart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ARO Term</w:t>
            </w:r>
          </w:p>
        </w:tc>
        <w:tc>
          <w:tcPr>
            <w:tcW w:w="810" w:type="dxa"/>
            <w:vMerge w:val="restart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SNP</w:t>
            </w: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Detection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AMR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Resistance</w:t>
            </w:r>
          </w:p>
        </w:tc>
        <w:tc>
          <w:tcPr>
            <w:tcW w:w="1230" w:type="dxa"/>
            <w:vMerge w:val="restart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% Identity of Matching Region</w:t>
            </w:r>
          </w:p>
        </w:tc>
        <w:tc>
          <w:tcPr>
            <w:tcW w:w="1223" w:type="dxa"/>
            <w:vMerge w:val="restart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% Length of Reference Sequence</w:t>
            </w:r>
          </w:p>
        </w:tc>
      </w:tr>
      <w:tr w:rsidR="00377DB6" w:rsidRPr="00377DB6" w:rsidTr="00B464E0">
        <w:trPr>
          <w:trHeight w:val="31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81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Gene Family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DB6">
              <w:rPr>
                <w:rFonts w:ascii="Times New Roman" w:hAnsi="Times New Roman" w:cs="Times New Roman"/>
                <w:b/>
                <w:bCs/>
              </w:rPr>
              <w:t>Mechanism</w:t>
            </w:r>
          </w:p>
        </w:tc>
        <w:tc>
          <w:tcPr>
            <w:tcW w:w="123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3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8EE" w:rsidRPr="00377DB6" w:rsidTr="00B464E0">
        <w:trPr>
          <w:trHeight w:val="322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0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3" w:type="dxa"/>
            <w:vMerge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7DB6" w:rsidRPr="00377DB6" w:rsidTr="00B464E0">
        <w:trPr>
          <w:trHeight w:val="7037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marA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pump, General Bacterial Porin with reduced permeability to beta-lactams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monobactam, carbapenem, cephalosporin, glycylcycline, cephamycin, penam, tetracycline antibiotic, rifamycin antibiotic, phenicol antibiotic, penem,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efflux, reduced permeability to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91.2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201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Shigella flexneri acrA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 xml:space="preserve">resistance-nodulation-cell division (RND) antibiotic efflux </w:t>
            </w:r>
            <w:r w:rsidRPr="00377DB6">
              <w:rPr>
                <w:rFonts w:ascii="Times New Roman" w:hAnsi="Times New Roman" w:cs="Times New Roman"/>
              </w:rPr>
              <w:lastRenderedPageBreak/>
              <w:t>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lastRenderedPageBreak/>
              <w:t>fluoroquinolone antibiotic, cephalosporin, glycylcycline, penam, tetracyclin</w:t>
            </w:r>
            <w:r w:rsidRPr="00377DB6">
              <w:rPr>
                <w:rFonts w:ascii="Times New Roman" w:hAnsi="Times New Roman" w:cs="Times New Roman"/>
              </w:rPr>
              <w:lastRenderedPageBreak/>
              <w:t>e antibiotic, rifamycin antibiotic, phenicol antibiotic,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lastRenderedPageBreak/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84.96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100.5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adeF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tetracycline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42.19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98.96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msbA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ATP-binding cassette (ABC)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nitroimidazole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92.27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adeF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tetracycline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41.83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97.92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oqxA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glycylcycline, tetracycline antibiotic, diaminopyrimidine antibiotic, nitrofuran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92.58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adeF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tetracycline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61.06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99.15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LptD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ATP-binding cassette (ABC)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carbapenem, peptide antibiotic, aminocoumarin antibiotic, rifamycin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92.84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101.02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leuO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nucleoside antibiotic,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80.46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100.64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ArnT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pmr phosphoethanolamine transferase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peptide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89.84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eptB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pmr phosphoethanolamine transferase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peptide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91.34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98.08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fluoroquinolone antibiotic, penam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99.05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201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H-NS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major facilitator superfamily (MFS) antibiotic efflux pump, 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fluoroquinolone antibiotic, cephalosporin, cephamycin, penam, tetracycline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93.33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98.54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vanG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glycopeptide resistance gene cluster, Van ligase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glycopeptide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39.04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104.58</w:t>
            </w:r>
          </w:p>
        </w:tc>
      </w:tr>
      <w:tr w:rsidR="00377DB6" w:rsidRPr="00377DB6" w:rsidTr="00B464E0">
        <w:trPr>
          <w:trHeight w:val="172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Klebsiella pneumoniae KpnH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fluoroquinolone antibiotic, aminoglycoside antibiotic, carbapenem, cephalosporin, penam, peptide antibiotic, penem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94.34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172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Klebsiella pneumoniae KpnG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fluoroquinolone antibiotic, aminoglycoside antibiotic, carbapenem, cephalosporin, penam, peptide antibiotic, penem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93.85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emrR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93.57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201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Klebsiella pneumoniae KpnE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aminoglycoside antibiotic, cephalosporin, tetracycline antibiotic, peptide antibiotic, rifamycin antibiotic,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201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Klebsiella pneumoniae KpnF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macrolide antibiotic, aminoglycoside antibiotic, cephalosporin, tetracycline antibiotic, peptide antibiotic, rifamycin antibiotic,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92.66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rsmA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diaminopyrimidine antibiotic, phenicol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85.25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qacG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38.61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101.87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fosA5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fosfomycin thiol transferase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aminoglycoside antibiotic, phosphonic acid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95.68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87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Escherichia coli parE conferring resistance to fluoroquinolones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D476N</w:t>
            </w: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variant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resistant parE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94.6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100.16</w:t>
            </w:r>
          </w:p>
        </w:tc>
      </w:tr>
      <w:tr w:rsidR="00377DB6" w:rsidRPr="00377DB6" w:rsidTr="00B464E0">
        <w:trPr>
          <w:trHeight w:val="144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Haemophilus influenzae PBP3 conferring resistance to beta-lactam antibiotics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D350N, S357N</w:t>
            </w: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variant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Penicillin-binding protein mutations conferring resistance to beta-lactam antibiotics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cephalosporin, cephamycin, penam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52.02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96.39</w:t>
            </w:r>
          </w:p>
        </w:tc>
      </w:tr>
      <w:tr w:rsidR="00377DB6" w:rsidRPr="00377DB6" w:rsidTr="00B464E0">
        <w:trPr>
          <w:trHeight w:val="8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Escherichia coli UhpT with mutation conferring resistance to fosfomycin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E350Q</w:t>
            </w: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variant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antibiotic-resistant UhpT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phosphonic acid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94.82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4728EE" w:rsidRPr="00377DB6" w:rsidTr="00B464E0">
        <w:trPr>
          <w:trHeight w:val="315"/>
        </w:trPr>
        <w:tc>
          <w:tcPr>
            <w:tcW w:w="738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noWrap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B6" w:rsidRPr="00377DB6" w:rsidTr="00B464E0">
        <w:trPr>
          <w:trHeight w:val="2010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Escherichia coli AcrAB-TolC with MarR mutations conferring resistance to ciprofloxacin and tetracycline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S3N</w:t>
            </w: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overexpression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cephalosporin, glycylcycline, penam, tetracycline antibiotic, rifamycin antibiotic, phenicol antibiotic,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alteration, 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80.56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115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baeR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overexpression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aminoglycoside antibiotic, aminocoumarin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93.75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100</w:t>
            </w:r>
          </w:p>
        </w:tc>
      </w:tr>
      <w:tr w:rsidR="00377DB6" w:rsidRPr="00377DB6" w:rsidTr="00B464E0">
        <w:trPr>
          <w:trHeight w:val="4275"/>
        </w:trPr>
        <w:tc>
          <w:tcPr>
            <w:tcW w:w="738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Escherichia coli soxS with mutation conferring antibiotic resistance</w:t>
            </w:r>
          </w:p>
        </w:tc>
        <w:tc>
          <w:tcPr>
            <w:tcW w:w="81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protein overexpression model</w:t>
            </w:r>
          </w:p>
        </w:tc>
        <w:tc>
          <w:tcPr>
            <w:tcW w:w="976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ATP-binding cassette (ABC) antibiotic efflux pump, major facilitator superfamily (MFS) antibiotic efflux pump, resistance-nodulation-cell division (RND) antibiotic efflux pump, General Bacterial Porin with reduced permeability to beta-lactams</w:t>
            </w:r>
          </w:p>
        </w:tc>
        <w:tc>
          <w:tcPr>
            <w:tcW w:w="1209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fluoroquinolone antibiotic, monobactam, carbapenem, cephalosporin, glycylcycline, cephamycin, penam, tetracycline antibiotic, rifamycin antibiotic, phenicol antibiotic, penem, disinfecting agents and antiseptics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antibiotic target alteration, antibiotic efflux, reduced permeability to antibiotic</w:t>
            </w:r>
          </w:p>
        </w:tc>
        <w:tc>
          <w:tcPr>
            <w:tcW w:w="1230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91.59</w:t>
            </w:r>
          </w:p>
        </w:tc>
        <w:tc>
          <w:tcPr>
            <w:tcW w:w="1223" w:type="dxa"/>
            <w:hideMark/>
          </w:tcPr>
          <w:p w:rsidR="00377DB6" w:rsidRPr="00377DB6" w:rsidRDefault="00377DB6" w:rsidP="00B464E0">
            <w:pPr>
              <w:jc w:val="center"/>
              <w:rPr>
                <w:rFonts w:ascii="Times New Roman" w:hAnsi="Times New Roman" w:cs="Times New Roman"/>
              </w:rPr>
            </w:pPr>
            <w:r w:rsidRPr="00377DB6">
              <w:rPr>
                <w:rFonts w:ascii="Times New Roman" w:hAnsi="Times New Roman" w:cs="Times New Roman"/>
              </w:rPr>
              <w:t>101.87</w:t>
            </w:r>
          </w:p>
        </w:tc>
      </w:tr>
    </w:tbl>
    <w:p w:rsidR="002356BF" w:rsidRPr="00377DB6" w:rsidRDefault="002356BF" w:rsidP="00377DB6">
      <w:pPr>
        <w:jc w:val="center"/>
        <w:rPr>
          <w:rFonts w:ascii="Times New Roman" w:hAnsi="Times New Roman" w:cs="Times New Roman"/>
        </w:rPr>
      </w:pPr>
    </w:p>
    <w:sectPr w:rsidR="002356BF" w:rsidRPr="00377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5DD" w:rsidRDefault="00FF15DD" w:rsidP="00B464E0">
      <w:pPr>
        <w:spacing w:after="0" w:line="240" w:lineRule="auto"/>
      </w:pPr>
      <w:r>
        <w:separator/>
      </w:r>
    </w:p>
  </w:endnote>
  <w:endnote w:type="continuationSeparator" w:id="0">
    <w:p w:rsidR="00FF15DD" w:rsidRDefault="00FF15DD" w:rsidP="00B4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5DD" w:rsidRDefault="00FF15DD" w:rsidP="00B464E0">
      <w:pPr>
        <w:spacing w:after="0" w:line="240" w:lineRule="auto"/>
      </w:pPr>
      <w:r>
        <w:separator/>
      </w:r>
    </w:p>
  </w:footnote>
  <w:footnote w:type="continuationSeparator" w:id="0">
    <w:p w:rsidR="00FF15DD" w:rsidRDefault="00FF15DD" w:rsidP="00B46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17"/>
    <w:rsid w:val="002356BF"/>
    <w:rsid w:val="00377DB6"/>
    <w:rsid w:val="004728EE"/>
    <w:rsid w:val="004D0D89"/>
    <w:rsid w:val="0059156C"/>
    <w:rsid w:val="00612092"/>
    <w:rsid w:val="006B4AC8"/>
    <w:rsid w:val="00B464E0"/>
    <w:rsid w:val="00B61617"/>
    <w:rsid w:val="00F030E3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B01C5"/>
  <w15:docId w15:val="{4619A97F-6E69-473C-A930-D03D6727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4E0"/>
  </w:style>
  <w:style w:type="paragraph" w:styleId="Footer">
    <w:name w:val="footer"/>
    <w:basedOn w:val="Normal"/>
    <w:link w:val="FooterChar"/>
    <w:uiPriority w:val="99"/>
    <w:unhideWhenUsed/>
    <w:rsid w:val="00B4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Mrinmoy Sarker</dc:creator>
  <cp:lastModifiedBy>Muktadir Hossain</cp:lastModifiedBy>
  <cp:revision>9</cp:revision>
  <cp:lastPrinted>2024-03-25T17:30:00Z</cp:lastPrinted>
  <dcterms:created xsi:type="dcterms:W3CDTF">2024-02-11T14:42:00Z</dcterms:created>
  <dcterms:modified xsi:type="dcterms:W3CDTF">2024-09-28T17:44:00Z</dcterms:modified>
</cp:coreProperties>
</file>