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3D83C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OLE_LINK11"/>
      <w:r>
        <w:rPr>
          <w:rFonts w:hint="eastAsia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 xml:space="preserve">Title: </w:t>
      </w: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Gut microbiome links obesity to type 2 diabetes</w:t>
      </w:r>
      <w:bookmarkEnd w:id="0"/>
    </w:p>
    <w:p w14:paraId="3867C1E6">
      <w:pPr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eastAsia="zh-CN"/>
        </w:rPr>
      </w:pPr>
    </w:p>
    <w:p w14:paraId="38933A53">
      <w:pPr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eastAsia="zh-CN"/>
        </w:rPr>
      </w:pPr>
    </w:p>
    <w:p w14:paraId="62DF0DE1">
      <w:pPr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eastAsia="zh-CN"/>
        </w:rPr>
        <w:t>Supplementary Figure 1. The bidirectional causal effects between the gut microbiome (GM) and type 2 diabetes (T2D) and body mass index (BMI) are illustrated by the volcano plot.</w:t>
      </w:r>
      <w:bookmarkStart w:id="1" w:name="_GoBack"/>
      <w:bookmarkEnd w:id="1"/>
    </w:p>
    <w:p w14:paraId="7E8C74A7">
      <w:pP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t>A. Causal effects of the GM on T2D; B. Causal effects of the GM on BMI; C. Causal effects of T2D on the GM; D. Causal effects of BMI on the GM.</w:t>
      </w:r>
    </w:p>
    <w:p w14:paraId="27856E3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4"/>
          <w:szCs w:val="24"/>
          <w:u w:val="none"/>
        </w:rPr>
      </w:pPr>
    </w:p>
    <w:p w14:paraId="08C910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79265" cy="4319270"/>
            <wp:effectExtent l="0" t="0" r="635" b="11430"/>
            <wp:docPr id="1" name="图片 1" descr="VP 拷贝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VP 拷贝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926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25DE1">
      <w:pPr>
        <w:rPr>
          <w:rFonts w:hint="eastAsia" w:eastAsiaTheme="minorEastAsia"/>
          <w:lang w:eastAsia="zh-CN"/>
        </w:rPr>
      </w:pPr>
    </w:p>
    <w:p w14:paraId="69D03AE9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kYTlhNDA4NjA2NmNiZGRhNDZmMWY5NGU5NDA0ZDUifQ=="/>
  </w:docVars>
  <w:rsids>
    <w:rsidRoot w:val="25D34A7C"/>
    <w:rsid w:val="25D34A7C"/>
    <w:rsid w:val="3602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i/>
      <w:i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2024-11-06T01:14:00Z</dcterms:created>
  <dc:creator>KA</dc:creator>
  <cp:lastModifiedBy>KA</cp:lastModifiedBy>
  <dcterms:modified xsi:type="dcterms:W3CDTF">2024-11-06T01:24:00Z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CF727DC8C3F74BA395DB8E03F778B7E4_11</vt:lpwstr>
  </property>
</Properties>
</file>