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A2C" w:rsidRDefault="00DE2193">
      <w:pPr>
        <w:spacing w:line="480" w:lineRule="auto"/>
        <w:rPr>
          <w:rFonts w:eastAsia="Malgun Gothic" w:cs="Times New Roman"/>
          <w:b/>
          <w:sz w:val="28"/>
          <w:szCs w:val="28"/>
        </w:rPr>
      </w:pPr>
      <w:bookmarkStart w:id="0" w:name="_Hlk58677214"/>
      <w:bookmarkEnd w:id="0"/>
      <w:r>
        <w:rPr>
          <w:rFonts w:eastAsia="Malgun Gothic" w:cs="Times New Roman"/>
          <w:b/>
          <w:sz w:val="28"/>
          <w:szCs w:val="28"/>
        </w:rPr>
        <w:t>Supplementary M</w:t>
      </w:r>
      <w:bookmarkStart w:id="1" w:name="_GoBack"/>
      <w:bookmarkEnd w:id="1"/>
      <w:r>
        <w:rPr>
          <w:rFonts w:eastAsia="Malgun Gothic" w:cs="Times New Roman"/>
          <w:b/>
          <w:sz w:val="28"/>
          <w:szCs w:val="28"/>
        </w:rPr>
        <w:t>aterials</w:t>
      </w:r>
    </w:p>
    <w:p w:rsidR="00FA6A2C" w:rsidRDefault="00FA6A2C">
      <w:pPr>
        <w:spacing w:line="480" w:lineRule="auto"/>
        <w:rPr>
          <w:rFonts w:eastAsia="Malgun Gothic" w:cs="Times New Roman"/>
          <w:b/>
          <w:sz w:val="28"/>
          <w:szCs w:val="28"/>
        </w:rPr>
      </w:pPr>
    </w:p>
    <w:p w:rsidR="00FA6A2C" w:rsidRDefault="00DE2193">
      <w:pPr>
        <w:spacing w:line="48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 w:hint="eastAsia"/>
          <w:b/>
          <w:bCs/>
          <w:sz w:val="28"/>
          <w:szCs w:val="28"/>
        </w:rPr>
        <w:t xml:space="preserve">Functional </w:t>
      </w:r>
      <w:r>
        <w:rPr>
          <w:rFonts w:cs="Times New Roman" w:hint="eastAsia"/>
          <w:b/>
          <w:bCs/>
          <w:sz w:val="28"/>
          <w:szCs w:val="28"/>
          <w:lang w:eastAsia="zh-CN"/>
        </w:rPr>
        <w:t>p</w:t>
      </w:r>
      <w:r>
        <w:rPr>
          <w:rFonts w:cs="Times New Roman" w:hint="eastAsia"/>
          <w:b/>
          <w:bCs/>
          <w:sz w:val="28"/>
          <w:szCs w:val="28"/>
        </w:rPr>
        <w:t xml:space="preserve">otential and applications of </w:t>
      </w:r>
      <w:r>
        <w:rPr>
          <w:rFonts w:cs="Times New Roman" w:hint="eastAsia"/>
          <w:b/>
          <w:bCs/>
          <w:i/>
          <w:iCs/>
          <w:sz w:val="28"/>
          <w:szCs w:val="28"/>
        </w:rPr>
        <w:t>Ureibacillus massiliensis</w:t>
      </w:r>
      <w:r>
        <w:rPr>
          <w:rFonts w:cs="Times New Roman" w:hint="eastAsia"/>
          <w:b/>
          <w:bCs/>
          <w:sz w:val="28"/>
          <w:szCs w:val="28"/>
        </w:rPr>
        <w:t xml:space="preserve"> based on whole-genome sequencing analysis</w:t>
      </w:r>
    </w:p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ascii="Times New Roman Bold" w:hAnsi="Times New Roman Bold" w:cs="Times New Roman Bold"/>
          <w:b/>
          <w:bCs/>
          <w:szCs w:val="24"/>
        </w:rPr>
      </w:pP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Shiyao He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1+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 xml:space="preserve">, </w:t>
      </w:r>
      <w:bookmarkStart w:id="2" w:name="_Hlk164872775"/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Qi Ding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1+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, Wenting Wu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 xml:space="preserve">, </w:t>
      </w:r>
      <w:bookmarkStart w:id="3" w:name="_Hlk131255473"/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Yun Zhang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, Yan Kang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, Yang Meng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, Sirui Zhu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1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 xml:space="preserve"> and </w:t>
      </w:r>
      <w:bookmarkEnd w:id="3"/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Jinyuan Wu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2*</w:t>
      </w:r>
      <w:bookmarkEnd w:id="2"/>
    </w:p>
    <w:p w:rsidR="00FA6A2C" w:rsidRDefault="00FA6A2C"/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cs="Times New Roman"/>
          <w:szCs w:val="24"/>
        </w:rPr>
      </w:pPr>
      <w:r>
        <w:rPr>
          <w:rFonts w:eastAsia="DengXian" w:cs="Times New Roman"/>
          <w:kern w:val="2"/>
          <w:szCs w:val="24"/>
          <w:vertAlign w:val="superscript"/>
          <w:lang w:eastAsia="zh-CN" w:bidi="ar"/>
        </w:rPr>
        <w:t>1</w:t>
      </w:r>
      <w:r>
        <w:rPr>
          <w:rFonts w:eastAsia="DengXian" w:cs="Times New Roman"/>
          <w:kern w:val="2"/>
          <w:szCs w:val="24"/>
          <w:lang w:eastAsia="zh-CN" w:bidi="ar"/>
        </w:rPr>
        <w:t xml:space="preserve">Nanchang Key </w:t>
      </w:r>
      <w:r>
        <w:rPr>
          <w:rFonts w:eastAsia="DengXian" w:cs="Times New Roman"/>
          <w:kern w:val="2"/>
          <w:szCs w:val="24"/>
          <w:lang w:eastAsia="zh-CN" w:bidi="ar"/>
        </w:rPr>
        <w:t>Laboratory for Quality Evaluation of Medical Devices, Jiangxi Medical Device Testing Center, Nanchang, 330029, PR China.</w:t>
      </w:r>
    </w:p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cs="Times New Roman"/>
          <w:szCs w:val="24"/>
        </w:rPr>
      </w:pPr>
      <w:r>
        <w:rPr>
          <w:rFonts w:eastAsia="DengXian" w:cs="Times New Roman"/>
          <w:kern w:val="2"/>
          <w:szCs w:val="24"/>
          <w:vertAlign w:val="superscript"/>
          <w:lang w:eastAsia="zh-CN" w:bidi="ar"/>
        </w:rPr>
        <w:t>2</w:t>
      </w:r>
      <w:r>
        <w:rPr>
          <w:rFonts w:eastAsia="DengXian" w:cs="Times New Roman"/>
          <w:kern w:val="2"/>
          <w:szCs w:val="24"/>
          <w:lang w:eastAsia="zh-CN" w:bidi="ar"/>
        </w:rPr>
        <w:t>College of Bioscience and Bioengineering, Jiangxi Agricultural University, Nanchang, 330045, PR China.</w:t>
      </w:r>
    </w:p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ascii="Times New Roman Bold" w:hAnsi="Times New Roman Bold" w:cs="Times New Roman Bold"/>
          <w:b/>
          <w:bCs/>
          <w:szCs w:val="24"/>
        </w:rPr>
      </w:pPr>
      <w:r>
        <w:rPr>
          <w:rFonts w:ascii="Times New Roman Bold" w:eastAsia="DengXian" w:hAnsi="Times New Roman Bold" w:cs="Times New Roman Bold"/>
          <w:b/>
          <w:bCs/>
          <w:kern w:val="2"/>
          <w:szCs w:val="24"/>
          <w:vertAlign w:val="superscript"/>
          <w:lang w:eastAsia="zh-CN" w:bidi="ar"/>
        </w:rPr>
        <w:t>+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These authors contributed equa</w:t>
      </w: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>lly to this article</w:t>
      </w:r>
    </w:p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</w:pPr>
      <w:r>
        <w:rPr>
          <w:rFonts w:ascii="Times New Roman Bold" w:eastAsia="DengXian" w:hAnsi="Times New Roman Bold" w:cs="Times New Roman Bold"/>
          <w:b/>
          <w:bCs/>
          <w:kern w:val="2"/>
          <w:szCs w:val="24"/>
          <w:lang w:eastAsia="zh-CN" w:bidi="ar"/>
        </w:rPr>
        <w:t xml:space="preserve">*Corresponding author </w:t>
      </w:r>
    </w:p>
    <w:p w:rsidR="00FA6A2C" w:rsidRDefault="00DE2193">
      <w:pPr>
        <w:widowControl w:val="0"/>
        <w:suppressAutoHyphens/>
        <w:spacing w:before="0" w:after="0" w:line="480" w:lineRule="auto"/>
        <w:jc w:val="both"/>
        <w:rPr>
          <w:rFonts w:cs="Times New Roman"/>
          <w:szCs w:val="24"/>
          <w:lang w:eastAsia="zh-CN"/>
        </w:rPr>
      </w:pPr>
      <w:r>
        <w:rPr>
          <w:rFonts w:cs="Times New Roman"/>
          <w:szCs w:val="24"/>
        </w:rPr>
        <w:t xml:space="preserve">Jinyuan Wu: 2312125704@qq.com </w:t>
      </w:r>
    </w:p>
    <w:p w:rsidR="00FA6A2C" w:rsidRDefault="00FA6A2C"/>
    <w:p w:rsidR="00FA6A2C" w:rsidRDefault="00FA6A2C"/>
    <w:p w:rsidR="00FA6A2C" w:rsidRDefault="00FA6A2C"/>
    <w:p w:rsidR="00FA6A2C" w:rsidRDefault="00FA6A2C"/>
    <w:p w:rsidR="00FA6A2C" w:rsidRDefault="00FA6A2C"/>
    <w:p w:rsidR="00FA6A2C" w:rsidRDefault="00FA6A2C"/>
    <w:p w:rsidR="00FA6A2C" w:rsidRDefault="00FA6A2C"/>
    <w:p w:rsidR="00FA6A2C" w:rsidRDefault="00FA6A2C"/>
    <w:p w:rsidR="00FA6A2C" w:rsidRDefault="00DE2193">
      <w:pPr>
        <w:spacing w:line="720" w:lineRule="auto"/>
        <w:rPr>
          <w:rFonts w:cs="Times New Roman"/>
          <w:b/>
          <w:sz w:val="28"/>
          <w:szCs w:val="28"/>
        </w:rPr>
      </w:pPr>
      <w:r>
        <w:rPr>
          <w:rFonts w:cs="Times New Roman" w:hint="eastAsia"/>
          <w:b/>
          <w:sz w:val="28"/>
          <w:szCs w:val="28"/>
        </w:rPr>
        <w:lastRenderedPageBreak/>
        <w:t>S</w:t>
      </w:r>
      <w:r>
        <w:rPr>
          <w:rFonts w:cs="Times New Roman"/>
          <w:b/>
          <w:sz w:val="28"/>
          <w:szCs w:val="28"/>
        </w:rPr>
        <w:t>upplementary Figures</w:t>
      </w:r>
    </w:p>
    <w:p w:rsidR="00FA6A2C" w:rsidRDefault="00DE2193">
      <w:pPr>
        <w:jc w:val="center"/>
      </w:pPr>
      <w:r>
        <w:rPr>
          <w:noProof/>
          <w:lang w:val="en-IN" w:eastAsia="en-IN"/>
        </w:rPr>
        <w:drawing>
          <wp:inline distT="0" distB="0" distL="114300" distR="114300">
            <wp:extent cx="4640580" cy="2644775"/>
            <wp:effectExtent l="0" t="0" r="7620" b="222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A2C" w:rsidRDefault="00DE2193">
      <w:pPr>
        <w:spacing w:line="480" w:lineRule="auto"/>
        <w:rPr>
          <w:rFonts w:eastAsia="SimSun" w:cs="Times New Roman"/>
          <w:i/>
          <w:iCs/>
          <w:kern w:val="2"/>
          <w:szCs w:val="24"/>
          <w:lang w:eastAsia="zh-CN" w:bidi="ar"/>
        </w:rPr>
      </w:pPr>
      <w:r>
        <w:rPr>
          <w:rFonts w:cs="Times New Roman"/>
          <w:b/>
          <w:szCs w:val="24"/>
        </w:rPr>
        <w:t>Supplementary Figure 1.</w:t>
      </w:r>
      <w:r>
        <w:rPr>
          <w:rFonts w:eastAsia="SimSun" w:cs="Times New Roman"/>
          <w:kern w:val="2"/>
          <w:szCs w:val="24"/>
          <w:lang w:eastAsia="zh-CN" w:bidi="ar"/>
        </w:rPr>
        <w:t xml:space="preserve"> Number of orthologous genes shared by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 xml:space="preserve"> L. timonensis</w:t>
      </w:r>
      <w:r>
        <w:rPr>
          <w:rFonts w:eastAsia="SimSun" w:cs="Times New Roman"/>
          <w:kern w:val="2"/>
          <w:szCs w:val="24"/>
          <w:lang w:eastAsia="zh-CN" w:bidi="ar"/>
        </w:rPr>
        <w:t xml:space="preserve"> with 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 xml:space="preserve">Lysinibacillus </w:t>
      </w:r>
      <w:r>
        <w:rPr>
          <w:rFonts w:eastAsia="SimSun" w:cs="Times New Roman"/>
          <w:kern w:val="2"/>
          <w:szCs w:val="24"/>
          <w:lang w:eastAsia="zh-CN" w:bidi="ar"/>
        </w:rPr>
        <w:t xml:space="preserve">and 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>Ureibacillus.</w:t>
      </w:r>
    </w:p>
    <w:p w:rsidR="00FA6A2C" w:rsidRDefault="00DE2193">
      <w:pPr>
        <w:spacing w:line="480" w:lineRule="auto"/>
        <w:rPr>
          <w:rFonts w:ascii="SimSun" w:eastAsia="SimSun" w:hAnsi="SimSun" w:cs="SimSun"/>
          <w:kern w:val="2"/>
          <w:szCs w:val="24"/>
          <w:lang w:eastAsia="zh-CN" w:bidi="ar"/>
        </w:rPr>
      </w:pPr>
      <w:r>
        <w:rPr>
          <w:rFonts w:ascii="SimSun" w:eastAsia="SimSun" w:hAnsi="SimSun" w:cs="SimSun" w:hint="eastAsia"/>
          <w:kern w:val="2"/>
          <w:szCs w:val="24"/>
          <w:lang w:eastAsia="zh-CN" w:bidi="ar"/>
        </w:rPr>
        <w:t xml:space="preserve"> </w:t>
      </w:r>
    </w:p>
    <w:p w:rsidR="00FA6A2C" w:rsidRDefault="00FA6A2C">
      <w:pPr>
        <w:spacing w:line="480" w:lineRule="auto"/>
        <w:rPr>
          <w:rFonts w:ascii="SimSun" w:eastAsia="SimSun" w:hAnsi="SimSun" w:cs="SimSun"/>
          <w:kern w:val="2"/>
          <w:szCs w:val="24"/>
          <w:lang w:eastAsia="zh-CN" w:bidi="ar"/>
        </w:rPr>
      </w:pPr>
    </w:p>
    <w:p w:rsidR="00FA6A2C" w:rsidRDefault="00DE2193">
      <w:r>
        <w:rPr>
          <w:noProof/>
          <w:lang w:val="en-IN" w:eastAsia="en-IN"/>
        </w:rPr>
        <w:lastRenderedPageBreak/>
        <w:drawing>
          <wp:inline distT="0" distB="0" distL="114300" distR="114300">
            <wp:extent cx="5268595" cy="3428365"/>
            <wp:effectExtent l="0" t="0" r="1460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rFonts w:cs="Times New Roman"/>
          <w:b/>
          <w:szCs w:val="24"/>
        </w:rPr>
        <w:t>Supplementary Figure 2.</w:t>
      </w:r>
      <w:r>
        <w:rPr>
          <w:rFonts w:eastAsia="SimSun" w:cs="Times New Roman"/>
          <w:kern w:val="2"/>
          <w:szCs w:val="24"/>
          <w:lang w:eastAsia="zh-CN" w:bidi="ar"/>
        </w:rPr>
        <w:t xml:space="preserve"> ANI values of 12 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>Lysinibacillus</w:t>
      </w:r>
      <w:r>
        <w:rPr>
          <w:rFonts w:eastAsia="SimSun" w:cs="Times New Roman"/>
          <w:kern w:val="2"/>
          <w:szCs w:val="24"/>
          <w:lang w:eastAsia="zh-CN" w:bidi="ar"/>
        </w:rPr>
        <w:t xml:space="preserve"> strains compared to 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>Lysinibacillus</w:t>
      </w:r>
      <w:r>
        <w:rPr>
          <w:rFonts w:eastAsia="SimSun" w:cs="Times New Roman"/>
          <w:kern w:val="2"/>
          <w:szCs w:val="24"/>
          <w:lang w:eastAsia="zh-CN" w:bidi="ar"/>
        </w:rPr>
        <w:t xml:space="preserve"> and </w:t>
      </w:r>
      <w:r>
        <w:rPr>
          <w:rFonts w:eastAsia="SimSun" w:cs="Times New Roman"/>
          <w:i/>
          <w:iCs/>
          <w:kern w:val="2"/>
          <w:szCs w:val="24"/>
          <w:lang w:eastAsia="zh-CN" w:bidi="ar"/>
        </w:rPr>
        <w:t>Ureibacillus</w:t>
      </w:r>
      <w:r>
        <w:rPr>
          <w:rFonts w:eastAsia="SimSun" w:cs="Times New Roman"/>
          <w:kern w:val="2"/>
          <w:szCs w:val="24"/>
          <w:lang w:eastAsia="zh-CN" w:bidi="ar"/>
        </w:rPr>
        <w:t>.</w:t>
      </w: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rFonts w:eastAsia="SimSun" w:cs="Times New Roman"/>
          <w:noProof/>
          <w:kern w:val="2"/>
          <w:szCs w:val="24"/>
          <w:lang w:val="en-IN" w:eastAsia="en-IN"/>
        </w:rPr>
        <w:lastRenderedPageBreak/>
        <w:drawing>
          <wp:inline distT="0" distB="0" distL="0" distR="0">
            <wp:extent cx="4690745" cy="3859530"/>
            <wp:effectExtent l="0" t="0" r="0" b="7620"/>
            <wp:docPr id="1415389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38903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42" cy="387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zh-CN"/>
        </w:rPr>
        <w:t>3</w:t>
      </w:r>
      <w:r>
        <w:rPr>
          <w:rFonts w:cs="Times New Roman"/>
          <w:b/>
          <w:szCs w:val="24"/>
        </w:rPr>
        <w:t>.</w:t>
      </w:r>
      <w:r>
        <w:rPr>
          <w:rFonts w:eastAsia="SimSun" w:cs="Times New Roman"/>
          <w:kern w:val="2"/>
          <w:szCs w:val="24"/>
          <w:lang w:eastAsia="zh-CN" w:bidi="ar"/>
        </w:rPr>
        <w:t xml:space="preserve"> Gene flow network constructed based on PopCOGenT</w:t>
      </w:r>
      <w:r>
        <w:rPr>
          <w:rFonts w:eastAsia="SimSun" w:cs="Times New Roman" w:hint="eastAsia"/>
          <w:kern w:val="2"/>
          <w:szCs w:val="24"/>
          <w:lang w:eastAsia="zh-CN" w:bidi="ar"/>
        </w:rPr>
        <w:t xml:space="preserve">. </w:t>
      </w:r>
      <w:r>
        <w:rPr>
          <w:rFonts w:eastAsia="SimSun" w:cs="Times New Roman"/>
          <w:kern w:val="2"/>
          <w:szCs w:val="24"/>
          <w:lang w:eastAsia="zh-CN" w:bidi="ar"/>
        </w:rPr>
        <w:t xml:space="preserve">In the gene flow network generated using PopCOGenT, each node represents a distinct </w:t>
      </w:r>
      <w:r>
        <w:rPr>
          <w:rFonts w:eastAsia="SimSun" w:cs="Times New Roman"/>
          <w:kern w:val="2"/>
          <w:szCs w:val="24"/>
          <w:lang w:eastAsia="zh-CN" w:bidi="ar"/>
        </w:rPr>
        <w:t>bacterial strain. The colors of the nodes correspond to the clusters inferred by PopCOGenT, while individual gray nodes denote independent clusters not grouped with others.</w:t>
      </w: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rFonts w:eastAsia="SimSun" w:cs="Times New Roman"/>
          <w:noProof/>
          <w:kern w:val="2"/>
          <w:szCs w:val="24"/>
          <w:lang w:val="en-IN" w:eastAsia="en-IN"/>
        </w:rPr>
        <w:drawing>
          <wp:inline distT="0" distB="0" distL="0" distR="0">
            <wp:extent cx="5274310" cy="4304030"/>
            <wp:effectExtent l="0" t="0" r="2540" b="1270"/>
            <wp:docPr id="8688238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2387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zh-CN"/>
        </w:rPr>
        <w:t>4</w:t>
      </w:r>
      <w:r>
        <w:rPr>
          <w:rFonts w:cs="Times New Roman"/>
          <w:b/>
          <w:szCs w:val="24"/>
        </w:rPr>
        <w:t>.</w:t>
      </w:r>
      <w:r>
        <w:t xml:space="preserve"> </w:t>
      </w:r>
      <w:r>
        <w:rPr>
          <w:rFonts w:eastAsia="SimSun" w:cs="Times New Roman"/>
          <w:kern w:val="2"/>
          <w:szCs w:val="24"/>
          <w:lang w:eastAsia="zh-CN" w:bidi="ar"/>
        </w:rPr>
        <w:t>A comparative analysis was conducted on the annotation r</w:t>
      </w:r>
      <w:r>
        <w:rPr>
          <w:rFonts w:eastAsia="SimSun" w:cs="Times New Roman"/>
          <w:kern w:val="2"/>
          <w:szCs w:val="24"/>
          <w:lang w:eastAsia="zh-CN" w:bidi="ar"/>
        </w:rPr>
        <w:t>esults of strain B05 and GCF_002200855 in the VFDB, CAZy, and KEGG.</w:t>
      </w:r>
      <w:r>
        <w:t xml:space="preserve"> </w:t>
      </w:r>
      <w:r>
        <w:rPr>
          <w:rFonts w:eastAsia="SimSun" w:cs="Times New Roman"/>
          <w:b/>
          <w:bCs/>
          <w:kern w:val="2"/>
          <w:szCs w:val="24"/>
          <w:lang w:eastAsia="zh-CN" w:bidi="ar"/>
        </w:rPr>
        <w:t xml:space="preserve">(A) </w:t>
      </w:r>
      <w:r>
        <w:rPr>
          <w:rFonts w:eastAsia="SimSun" w:cs="Times New Roman"/>
          <w:kern w:val="2"/>
          <w:szCs w:val="24"/>
          <w:lang w:eastAsia="zh-CN" w:bidi="ar"/>
        </w:rPr>
        <w:t xml:space="preserve">The bar chart illustrates the comparison of B05 and GCF_002200855 at the VF category level 1 and VF_name levels. The Venn diagram highlights the unique and shared VF types between B05 </w:t>
      </w:r>
      <w:r>
        <w:rPr>
          <w:rFonts w:eastAsia="SimSun" w:cs="Times New Roman"/>
          <w:kern w:val="2"/>
          <w:szCs w:val="24"/>
          <w:lang w:eastAsia="zh-CN" w:bidi="ar"/>
        </w:rPr>
        <w:t>and GCF_002200855.</w:t>
      </w:r>
      <w:r>
        <w:rPr>
          <w:b/>
          <w:bCs/>
        </w:rPr>
        <w:t xml:space="preserve"> </w:t>
      </w:r>
      <w:r>
        <w:rPr>
          <w:rFonts w:eastAsia="SimSun" w:cs="Times New Roman"/>
          <w:b/>
          <w:bCs/>
          <w:kern w:val="2"/>
          <w:szCs w:val="24"/>
          <w:lang w:eastAsia="zh-CN" w:bidi="ar"/>
        </w:rPr>
        <w:t xml:space="preserve">(B) </w:t>
      </w:r>
      <w:r>
        <w:rPr>
          <w:rFonts w:eastAsia="SimSun" w:cs="Times New Roman"/>
          <w:kern w:val="2"/>
          <w:szCs w:val="24"/>
          <w:lang w:eastAsia="zh-CN" w:bidi="ar"/>
        </w:rPr>
        <w:t>The bar chart illustrates the distribution of CAZyme families in strains B05 and GCF_002200855, highlighting both their differences and shared features.</w:t>
      </w:r>
      <w:r>
        <w:rPr>
          <w:rFonts w:eastAsia="SimSun" w:cs="Times New Roman" w:hint="eastAsia"/>
          <w:kern w:val="2"/>
          <w:szCs w:val="24"/>
          <w:lang w:eastAsia="zh-CN" w:bidi="ar"/>
        </w:rPr>
        <w:t xml:space="preserve"> </w:t>
      </w:r>
      <w:r>
        <w:rPr>
          <w:rFonts w:eastAsia="SimSun" w:cs="Times New Roman"/>
          <w:b/>
          <w:bCs/>
          <w:kern w:val="2"/>
          <w:szCs w:val="24"/>
          <w:lang w:eastAsia="zh-CN" w:bidi="ar"/>
        </w:rPr>
        <w:t>(C)</w:t>
      </w:r>
      <w:r>
        <w:rPr>
          <w:rFonts w:eastAsia="SimSun" w:cs="Times New Roman"/>
          <w:kern w:val="2"/>
          <w:szCs w:val="24"/>
          <w:lang w:eastAsia="zh-CN" w:bidi="ar"/>
        </w:rPr>
        <w:t xml:space="preserve"> The Venn diagram depicts the number of unique and shared KO categories betwe</w:t>
      </w:r>
      <w:r>
        <w:rPr>
          <w:rFonts w:eastAsia="SimSun" w:cs="Times New Roman"/>
          <w:kern w:val="2"/>
          <w:szCs w:val="24"/>
          <w:lang w:eastAsia="zh-CN" w:bidi="ar"/>
        </w:rPr>
        <w:t>en strains B05 and GCF_002200855.</w:t>
      </w: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FA6A2C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</w:p>
    <w:p w:rsidR="00FA6A2C" w:rsidRDefault="00DE2193">
      <w:pPr>
        <w:widowControl w:val="0"/>
        <w:suppressAutoHyphens/>
        <w:spacing w:before="0" w:after="0" w:line="360" w:lineRule="auto"/>
        <w:jc w:val="both"/>
        <w:rPr>
          <w:rFonts w:eastAsia="SimSun" w:cs="Times New Roman"/>
          <w:kern w:val="2"/>
          <w:szCs w:val="24"/>
          <w:lang w:eastAsia="zh-CN" w:bidi="ar"/>
        </w:rPr>
      </w:pPr>
      <w:r>
        <w:rPr>
          <w:noProof/>
          <w:lang w:val="en-IN" w:eastAsia="en-IN"/>
        </w:rPr>
        <w:drawing>
          <wp:inline distT="0" distB="0" distL="114300" distR="114300">
            <wp:extent cx="4837430" cy="3644265"/>
            <wp:effectExtent l="0" t="0" r="13970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7430" cy="364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A2C" w:rsidRDefault="00DE2193">
      <w:pPr>
        <w:rPr>
          <w:rFonts w:eastAsia="SimSun" w:cs="Times New Roman"/>
          <w:kern w:val="2"/>
          <w:szCs w:val="24"/>
          <w:lang w:eastAsia="zh-CN" w:bidi="ar"/>
        </w:rPr>
      </w:pPr>
      <w:r>
        <w:rPr>
          <w:rFonts w:cs="Times New Roman"/>
          <w:b/>
          <w:szCs w:val="24"/>
        </w:rPr>
        <w:t xml:space="preserve">Supplementary Figure </w:t>
      </w:r>
      <w:r>
        <w:rPr>
          <w:rFonts w:cs="Times New Roman" w:hint="eastAsia"/>
          <w:b/>
          <w:szCs w:val="24"/>
          <w:lang w:eastAsia="zh-CN"/>
        </w:rPr>
        <w:t>5</w:t>
      </w:r>
      <w:r>
        <w:rPr>
          <w:rFonts w:cs="Times New Roman"/>
          <w:b/>
          <w:szCs w:val="24"/>
        </w:rPr>
        <w:t>.</w:t>
      </w:r>
      <w:r>
        <w:rPr>
          <w:rFonts w:eastAsia="SimSun" w:cs="Times New Roman"/>
          <w:kern w:val="2"/>
          <w:szCs w:val="24"/>
          <w:lang w:eastAsia="zh-CN" w:bidi="ar"/>
        </w:rPr>
        <w:t xml:space="preserve"> Chemical structures of Rb1 and Rd</w:t>
      </w:r>
      <w:r>
        <w:rPr>
          <w:rFonts w:eastAsia="SimSun" w:cs="Times New Roman"/>
          <w:kern w:val="2"/>
          <w:szCs w:val="24"/>
          <w:lang w:eastAsia="zh-CN" w:bidi="ar"/>
        </w:rPr>
        <w:t xml:space="preserve"> </w:t>
      </w:r>
      <w:r>
        <w:rPr>
          <w:rFonts w:eastAsia="SimSun" w:cs="Times New Roman"/>
          <w:kern w:val="2"/>
          <w:szCs w:val="24"/>
          <w:lang w:eastAsia="zh-CN" w:bidi="ar"/>
        </w:rPr>
        <w:fldChar w:fldCharType="begin"/>
      </w:r>
      <w:r>
        <w:rPr>
          <w:rFonts w:eastAsia="SimSun" w:cs="Times New Roman"/>
          <w:kern w:val="2"/>
          <w:szCs w:val="24"/>
          <w:lang w:eastAsia="zh-CN" w:bidi="ar"/>
        </w:rPr>
        <w:instrText xml:space="preserve"> ADDIN EN.CITE &lt;EndNote&gt;&lt;Cite&gt;&lt;Author&gt;Zhao&lt;/Author&gt;&lt;Year&gt;2009&lt;/Year&gt;&lt;RecNum&gt;484&lt;/RecNum&gt;&lt;DisplayText&gt;[1]&lt;/DisplayText&gt;&lt;record&gt;&lt;rec-number&gt;484&lt;/rec-number&gt;&lt;</w:instrText>
      </w:r>
      <w:r>
        <w:rPr>
          <w:rFonts w:eastAsia="SimSun" w:cs="Times New Roman"/>
          <w:kern w:val="2"/>
          <w:szCs w:val="24"/>
          <w:lang w:eastAsia="zh-CN" w:bidi="ar"/>
        </w:rPr>
        <w:instrText>foreign-keys&gt;&lt;key app="EN" db-id="rs505frdrat95ee502upsexbv95f9sdp0ess" timestamp="1746237625"&gt;484&lt;/key&gt;&lt;/foreign-keys&gt;&lt;ref-type name="Journal Article"&gt;17&lt;/ref-type&gt;&lt;contributors&gt;&lt;authors&gt;&lt;author&gt;Zhao, Xuesong&lt;/author&gt;&lt;author&gt;Wang, Juan&lt;/author&gt;&lt;author&gt;Li,</w:instrText>
      </w:r>
      <w:r>
        <w:rPr>
          <w:rFonts w:eastAsia="SimSun" w:cs="Times New Roman"/>
          <w:kern w:val="2"/>
          <w:szCs w:val="24"/>
          <w:lang w:eastAsia="zh-CN" w:bidi="ar"/>
        </w:rPr>
        <w:instrText xml:space="preserve"> Jie&lt;/author&gt;&lt;author&gt;Fu, Ling&lt;/author&gt;&lt;author&gt;Gao, Juan&lt;/author&gt;&lt;author&gt;Du, Xiuli&lt;/author&gt;&lt;author&gt;Bi, Hongtao&lt;/author&gt;&lt;author&gt;Zhou, Yifa&lt;/author&gt;&lt;author&gt;Tai, Guihua&lt;/author&gt;&lt;/authors&gt;&lt;/contributors&gt;&lt;titles&gt;&lt;title&gt;Highly selective biotransformation of ginse</w:instrText>
      </w:r>
      <w:r>
        <w:rPr>
          <w:rFonts w:eastAsia="SimSun" w:cs="Times New Roman"/>
          <w:kern w:val="2"/>
          <w:szCs w:val="24"/>
          <w:lang w:eastAsia="zh-CN" w:bidi="ar"/>
        </w:rPr>
        <w:instrText>noside Rb1 to Rd by the phytopathogenic fungus Cladosporium fulvum (syn. Fulvia fulva)&lt;/title&gt;&lt;secondary-title&gt;Journal of Industrial Microbiology &amp;amp; Biotechnology&lt;/secondary-title&gt;&lt;/titles&gt;&lt;periodical&gt;&lt;full-title&gt;Journal of Industrial Microbiology &amp;amp;</w:instrText>
      </w:r>
      <w:r>
        <w:rPr>
          <w:rFonts w:eastAsia="SimSun" w:cs="Times New Roman"/>
          <w:kern w:val="2"/>
          <w:szCs w:val="24"/>
          <w:lang w:eastAsia="zh-CN" w:bidi="ar"/>
        </w:rPr>
        <w:instrText xml:space="preserve"> Biotechnology&lt;/full-title&gt;&lt;/periodical&gt;&lt;pages&gt;721-726&lt;/pages&gt;&lt;volume&gt;36&lt;/volume&gt;&lt;number&gt;5&lt;/number&gt;&lt;dates&gt;&lt;year&gt;2009&lt;/year&gt;&lt;/dates&gt;&lt;urls&gt;&lt;/urls&gt;&lt;/record&gt;&lt;/Cite&gt;&lt;/EndNote&gt;</w:instrText>
      </w:r>
      <w:r>
        <w:rPr>
          <w:rFonts w:eastAsia="SimSun" w:cs="Times New Roman"/>
          <w:kern w:val="2"/>
          <w:szCs w:val="24"/>
          <w:lang w:eastAsia="zh-CN" w:bidi="ar"/>
        </w:rPr>
        <w:fldChar w:fldCharType="separate"/>
      </w:r>
      <w:r>
        <w:rPr>
          <w:rFonts w:eastAsia="SimSun" w:cs="Times New Roman"/>
          <w:kern w:val="2"/>
          <w:szCs w:val="24"/>
          <w:lang w:eastAsia="zh-CN" w:bidi="ar"/>
        </w:rPr>
        <w:t>[1]</w:t>
      </w:r>
      <w:r>
        <w:rPr>
          <w:rFonts w:eastAsia="SimSun" w:cs="Times New Roman"/>
          <w:kern w:val="2"/>
          <w:szCs w:val="24"/>
          <w:lang w:eastAsia="zh-CN" w:bidi="ar"/>
        </w:rPr>
        <w:fldChar w:fldCharType="end"/>
      </w:r>
      <w:r>
        <w:rPr>
          <w:rFonts w:eastAsia="SimSun" w:cs="Times New Roman"/>
          <w:kern w:val="2"/>
          <w:szCs w:val="24"/>
          <w:lang w:eastAsia="zh-CN" w:bidi="ar"/>
        </w:rPr>
        <w:t>.</w:t>
      </w:r>
    </w:p>
    <w:p w:rsidR="00FA6A2C" w:rsidRDefault="00DE2193">
      <w:pPr>
        <w:spacing w:line="360" w:lineRule="auto"/>
        <w:outlineLvl w:val="1"/>
        <w:rPr>
          <w:rFonts w:eastAsia="SimSun" w:cs="Times New Roman"/>
          <w:b/>
          <w:bCs/>
          <w:szCs w:val="24"/>
        </w:rPr>
      </w:pPr>
      <w:r>
        <w:rPr>
          <w:rFonts w:eastAsia="SimSun" w:cs="Times New Roman"/>
          <w:b/>
          <w:bCs/>
          <w:szCs w:val="24"/>
        </w:rPr>
        <w:t>References</w:t>
      </w:r>
    </w:p>
    <w:p w:rsidR="00FA6A2C" w:rsidRDefault="00DE2193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>
        <w:t>1.</w:t>
      </w:r>
      <w:r>
        <w:tab/>
        <w:t>Zhao X, Wang J, Li J, Fu L, Gao J, Du X, et al</w:t>
      </w:r>
      <w:r>
        <w:t>. Highly selective biotransformation of ginsenoside Rb1 to Rd by the phytopathogenic fungus Cladosporium fulvum (syn. Fulvia fulva). Journal of Industrial Microbiology &amp; Biotechnology. 2009;36(5):721-6.</w:t>
      </w:r>
    </w:p>
    <w:p w:rsidR="00FA6A2C" w:rsidRDefault="00DE2193">
      <w:r>
        <w:fldChar w:fldCharType="end"/>
      </w:r>
    </w:p>
    <w:sectPr w:rsidR="00FA6A2C" w:rsidSect="00DE2193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2193">
      <w:pPr>
        <w:spacing w:before="0" w:after="0"/>
      </w:pPr>
      <w:r>
        <w:separator/>
      </w:r>
    </w:p>
  </w:endnote>
  <w:endnote w:type="continuationSeparator" w:id="0">
    <w:p w:rsidR="00000000" w:rsidRDefault="00DE219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A2C" w:rsidRDefault="00DE2193">
      <w:pPr>
        <w:spacing w:before="0" w:after="0"/>
      </w:pPr>
      <w:r>
        <w:separator/>
      </w:r>
    </w:p>
  </w:footnote>
  <w:footnote w:type="continuationSeparator" w:id="0">
    <w:p w:rsidR="00FA6A2C" w:rsidRDefault="00DE2193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icrobi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505frdrat95ee502upsexbv95f9sdp0ess&quot;&gt;My EndNote Library3-Converted&lt;record-ids&gt;&lt;item&gt;484&lt;/item&gt;&lt;/record-ids&gt;&lt;/item&gt;&lt;/Libraries&gt;"/>
  </w:docVars>
  <w:rsids>
    <w:rsidRoot w:val="FFBFDA7A"/>
    <w:rsid w:val="86E684B1"/>
    <w:rsid w:val="9CBE00F8"/>
    <w:rsid w:val="A7DB7D10"/>
    <w:rsid w:val="BDC714AA"/>
    <w:rsid w:val="D7DD73E1"/>
    <w:rsid w:val="E67F51D2"/>
    <w:rsid w:val="EFFE9313"/>
    <w:rsid w:val="F56E7462"/>
    <w:rsid w:val="F7FFE92E"/>
    <w:rsid w:val="FDFF6BA8"/>
    <w:rsid w:val="FEFEC179"/>
    <w:rsid w:val="FFBFDA7A"/>
    <w:rsid w:val="FFDF9CD3"/>
    <w:rsid w:val="000720E3"/>
    <w:rsid w:val="000D18AB"/>
    <w:rsid w:val="005D5245"/>
    <w:rsid w:val="005D7AE8"/>
    <w:rsid w:val="00617230"/>
    <w:rsid w:val="00703152"/>
    <w:rsid w:val="00782933"/>
    <w:rsid w:val="007D2585"/>
    <w:rsid w:val="00853B76"/>
    <w:rsid w:val="00A005DA"/>
    <w:rsid w:val="00A530E7"/>
    <w:rsid w:val="00B31021"/>
    <w:rsid w:val="00BF4240"/>
    <w:rsid w:val="00DC286E"/>
    <w:rsid w:val="00DE2193"/>
    <w:rsid w:val="00E324F8"/>
    <w:rsid w:val="00F07844"/>
    <w:rsid w:val="00FA269B"/>
    <w:rsid w:val="00FA6A2C"/>
    <w:rsid w:val="0FF7078E"/>
    <w:rsid w:val="3CF364E9"/>
    <w:rsid w:val="4CFEF39F"/>
    <w:rsid w:val="5A9FA84D"/>
    <w:rsid w:val="677EF6F9"/>
    <w:rsid w:val="6E3AA08F"/>
    <w:rsid w:val="6EDF8893"/>
    <w:rsid w:val="6FB7330E"/>
    <w:rsid w:val="6FF6958D"/>
    <w:rsid w:val="73659167"/>
    <w:rsid w:val="777C7663"/>
    <w:rsid w:val="7B7FB0A6"/>
    <w:rsid w:val="7BA1F9A2"/>
    <w:rsid w:val="7BD5F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F53F4EF-867C-4D25-9191-D7B2B7C5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240"/>
    </w:pPr>
    <w:rPr>
      <w:rFonts w:eastAsiaTheme="minorEastAsia" w:cstheme="minorBidi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neNumber">
    <w:name w:val="line number"/>
    <w:basedOn w:val="DefaultParagraphFont"/>
    <w:qFormat/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qFormat/>
    <w:rPr>
      <w:rFonts w:eastAsiaTheme="minorEastAsia" w:cstheme="minorBid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qFormat/>
    <w:rPr>
      <w:rFonts w:eastAsiaTheme="minorEastAsia" w:cstheme="minorBidi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spacing w:after="0"/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Theme="minorEastAsia"/>
      <w:sz w:val="24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Theme="minorEastAs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wjy</dc:creator>
  <cp:lastModifiedBy>Vigneshwaran R</cp:lastModifiedBy>
  <cp:revision>9</cp:revision>
  <dcterms:created xsi:type="dcterms:W3CDTF">2025-04-29T02:37:00Z</dcterms:created>
  <dcterms:modified xsi:type="dcterms:W3CDTF">2025-07-26T09:37:00Z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E0C562036EF76AA9DB080E68E7B0620C_41</vt:lpwstr>
  </property>
</Properties>
</file>