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A98F7">
      <w:pPr>
        <w:widowControl/>
        <w:numPr>
          <w:numId w:val="0"/>
        </w:numPr>
        <w:spacing w:line="240" w:lineRule="auto"/>
        <w:jc w:val="center"/>
        <w:rPr>
          <w:rFonts w:ascii="Times New Roman" w:hAnsi="Times New Roman" w:cs="Times New Roman"/>
          <w:sz w:val="24"/>
        </w:rPr>
      </w:pPr>
      <w:bookmarkStart w:id="0" w:name="_GoBack"/>
      <w:r>
        <w:rPr>
          <w:rFonts w:ascii="Times New Roman" w:hAnsi="Times New Roman" w:cs="Times New Roman"/>
          <w:sz w:val="24"/>
        </w:rPr>
        <w:t>Primer information used in this study</w:t>
      </w:r>
    </w:p>
    <w:bookmarkEnd w:id="0"/>
    <w:tbl>
      <w:tblPr>
        <w:tblStyle w:val="5"/>
        <w:tblpPr w:leftFromText="180" w:rightFromText="180" w:vertAnchor="text" w:horzAnchor="page" w:tblpX="1412" w:tblpY="638"/>
        <w:tblOverlap w:val="never"/>
        <w:tblW w:w="544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48"/>
        <w:gridCol w:w="5324"/>
        <w:gridCol w:w="1382"/>
        <w:gridCol w:w="1332"/>
      </w:tblGrid>
      <w:tr w14:paraId="17B98E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9" w:hRule="atLeast"/>
        </w:trPr>
        <w:tc>
          <w:tcPr>
            <w:tcW w:w="672" w:type="pct"/>
            <w:tcBorders>
              <w:top w:val="single" w:color="auto" w:sz="12" w:space="0"/>
              <w:bottom w:val="single" w:color="auto" w:sz="6" w:space="0"/>
            </w:tcBorders>
            <w:shd w:val="clear" w:color="auto" w:fill="auto"/>
            <w:vAlign w:val="center"/>
          </w:tcPr>
          <w:p w14:paraId="0D0C1664">
            <w:pPr>
              <w:pStyle w:val="2"/>
              <w:spacing w:line="240" w:lineRule="auto"/>
              <w:ind w:firstLine="0" w:firstLineChars="0"/>
              <w:jc w:val="center"/>
              <w:rPr>
                <w:rFonts w:ascii="Times New Roman" w:hAnsi="Times New Roman" w:cs="Times New Roman"/>
                <w:sz w:val="24"/>
              </w:rPr>
            </w:pPr>
            <w:r>
              <w:rPr>
                <w:rFonts w:ascii="Times New Roman" w:hAnsi="Times New Roman" w:cs="Times New Roman"/>
                <w:sz w:val="24"/>
              </w:rPr>
              <w:t>Virlence gene</w:t>
            </w:r>
          </w:p>
        </w:tc>
        <w:tc>
          <w:tcPr>
            <w:tcW w:w="2867" w:type="pct"/>
            <w:tcBorders>
              <w:top w:val="single" w:color="auto" w:sz="12" w:space="0"/>
              <w:bottom w:val="single" w:color="auto" w:sz="6" w:space="0"/>
            </w:tcBorders>
            <w:shd w:val="clear" w:color="auto" w:fill="auto"/>
            <w:vAlign w:val="center"/>
          </w:tcPr>
          <w:p w14:paraId="7D8B2FDE">
            <w:pPr>
              <w:widowControl/>
              <w:spacing w:line="240" w:lineRule="auto"/>
              <w:jc w:val="center"/>
              <w:rPr>
                <w:rFonts w:ascii="Times New Roman" w:hAnsi="Times New Roman" w:cs="Times New Roman"/>
                <w:sz w:val="24"/>
              </w:rPr>
            </w:pPr>
            <w:r>
              <w:rPr>
                <w:rFonts w:ascii="Times New Roman" w:hAnsi="Times New Roman" w:cs="Times New Roman"/>
                <w:sz w:val="24"/>
              </w:rPr>
              <w:t>Oligonucleotide sequence (5’-3’)</w:t>
            </w:r>
          </w:p>
        </w:tc>
        <w:tc>
          <w:tcPr>
            <w:tcW w:w="744" w:type="pct"/>
            <w:tcBorders>
              <w:top w:val="single" w:color="auto" w:sz="12" w:space="0"/>
              <w:bottom w:val="single" w:color="auto" w:sz="6" w:space="0"/>
            </w:tcBorders>
            <w:vAlign w:val="center"/>
          </w:tcPr>
          <w:p w14:paraId="5FB84651">
            <w:pPr>
              <w:widowControl/>
              <w:spacing w:line="240" w:lineRule="auto"/>
              <w:jc w:val="center"/>
              <w:rPr>
                <w:rFonts w:ascii="Times New Roman" w:hAnsi="Times New Roman" w:cs="Times New Roman"/>
                <w:sz w:val="24"/>
              </w:rPr>
            </w:pPr>
            <w:r>
              <w:rPr>
                <w:rFonts w:ascii="Times New Roman" w:hAnsi="Times New Roman" w:cs="Times New Roman"/>
                <w:sz w:val="24"/>
              </w:rPr>
              <w:t>Amplicon size (bp)</w:t>
            </w:r>
          </w:p>
        </w:tc>
        <w:tc>
          <w:tcPr>
            <w:tcW w:w="717" w:type="pct"/>
            <w:tcBorders>
              <w:top w:val="single" w:color="auto" w:sz="12" w:space="0"/>
              <w:bottom w:val="single" w:color="auto" w:sz="6" w:space="0"/>
            </w:tcBorders>
            <w:shd w:val="clear" w:color="auto" w:fill="auto"/>
            <w:vAlign w:val="center"/>
          </w:tcPr>
          <w:p w14:paraId="3B6E7634">
            <w:pPr>
              <w:widowControl/>
              <w:spacing w:line="240" w:lineRule="auto"/>
              <w:jc w:val="center"/>
              <w:rPr>
                <w:rFonts w:ascii="Times New Roman" w:hAnsi="Times New Roman" w:cs="Times New Roman"/>
                <w:sz w:val="24"/>
              </w:rPr>
            </w:pPr>
            <w:r>
              <w:rPr>
                <w:rFonts w:ascii="Times New Roman" w:hAnsi="Times New Roman" w:cs="Times New Roman"/>
                <w:sz w:val="24"/>
              </w:rPr>
              <w:t>Reference</w:t>
            </w:r>
          </w:p>
        </w:tc>
      </w:tr>
      <w:tr w14:paraId="4CEC587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72" w:type="pct"/>
            <w:tcBorders>
              <w:top w:val="single" w:color="auto" w:sz="6" w:space="0"/>
            </w:tcBorders>
            <w:shd w:val="clear" w:color="auto" w:fill="auto"/>
            <w:vAlign w:val="center"/>
          </w:tcPr>
          <w:p w14:paraId="449C5D4D">
            <w:pPr>
              <w:widowControl/>
              <w:spacing w:line="240" w:lineRule="auto"/>
              <w:jc w:val="center"/>
              <w:rPr>
                <w:rFonts w:ascii="Times New Roman" w:hAnsi="Times New Roman" w:cs="Times New Roman"/>
                <w:sz w:val="24"/>
              </w:rPr>
            </w:pPr>
            <w:r>
              <w:rPr>
                <w:rFonts w:ascii="Times New Roman" w:hAnsi="Times New Roman" w:cs="Times New Roman"/>
                <w:sz w:val="24"/>
              </w:rPr>
              <w:t>arcC-F</w:t>
            </w:r>
          </w:p>
        </w:tc>
        <w:tc>
          <w:tcPr>
            <w:tcW w:w="2867" w:type="pct"/>
            <w:tcBorders>
              <w:top w:val="single" w:color="auto" w:sz="6" w:space="0"/>
            </w:tcBorders>
            <w:shd w:val="clear" w:color="auto" w:fill="auto"/>
            <w:vAlign w:val="center"/>
          </w:tcPr>
          <w:p w14:paraId="3DB43188">
            <w:pPr>
              <w:widowControl/>
              <w:spacing w:line="240" w:lineRule="auto"/>
              <w:jc w:val="center"/>
              <w:rPr>
                <w:rFonts w:ascii="Times New Roman" w:hAnsi="Times New Roman" w:cs="Times New Roman"/>
                <w:sz w:val="24"/>
              </w:rPr>
            </w:pPr>
            <w:r>
              <w:rPr>
                <w:rFonts w:ascii="Times New Roman" w:hAnsi="Times New Roman" w:cs="Times New Roman"/>
                <w:sz w:val="24"/>
              </w:rPr>
              <w:t>TTGATTCACCAGCGCGTATTGTC</w:t>
            </w:r>
          </w:p>
        </w:tc>
        <w:tc>
          <w:tcPr>
            <w:tcW w:w="744" w:type="pct"/>
            <w:vMerge w:val="restart"/>
            <w:tcBorders>
              <w:top w:val="single" w:color="auto" w:sz="6" w:space="0"/>
            </w:tcBorders>
            <w:vAlign w:val="center"/>
          </w:tcPr>
          <w:p w14:paraId="44DD1116">
            <w:pPr>
              <w:widowControl/>
              <w:spacing w:line="240" w:lineRule="auto"/>
              <w:jc w:val="center"/>
              <w:rPr>
                <w:rFonts w:ascii="Times New Roman" w:hAnsi="Times New Roman" w:cs="Times New Roman"/>
                <w:sz w:val="24"/>
              </w:rPr>
            </w:pPr>
            <w:r>
              <w:rPr>
                <w:rFonts w:ascii="Times New Roman" w:hAnsi="Times New Roman" w:cs="Times New Roman"/>
                <w:sz w:val="24"/>
              </w:rPr>
              <w:t>456</w:t>
            </w:r>
          </w:p>
        </w:tc>
        <w:tc>
          <w:tcPr>
            <w:tcW w:w="717" w:type="pct"/>
            <w:vMerge w:val="restart"/>
            <w:tcBorders>
              <w:top w:val="single" w:color="auto" w:sz="6" w:space="0"/>
            </w:tcBorders>
            <w:shd w:val="clear" w:color="auto" w:fill="auto"/>
            <w:vAlign w:val="center"/>
          </w:tcPr>
          <w:p w14:paraId="6FE55B4C">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{"citationID":"9TA2Dsc6","properties":{"formattedCitation":"[1]","plainCitation":"[1]","noteIndex":0},"citationItems":[{"id":1877,"uris":["http://zotero.org/users/13841690/items/7R44LUPP"],"itemData":{"id":1877,"type":"article-journal","abstract":"A multilocus sequence typing (MLST) scheme has been developed for Staphylococcus aureus. The sequences of internal fragments of seven housekeeping genes were obtained for 155 S. aureus isolates from patients with community-acquired and hospital-acquired invasive disease in the Oxford, United Kingdom, area. Fifty-three different allelic profiles were identified, and 17 of these were represented by at least two isolates. The MLST scheme was highly discriminatory and was validated by showing that pairs of isolates with the same allelic profile produced very similar SmaI restriction fragment patterns by pulsed-field gel electrophoresis. All 22 isolates with the most prevalent allelic profile were methicillin-resistant S. aureus (MRSA) isolates and had allelic profiles identical to that of a reference strain of the epidemic MRSA clone 16 (EMRSA-16). Four MRSA isolates that were identical in allelic profile to the other major epidemic MRSA clone prevalent in British hospitals (clone EMRSA-15) were also identified. The majority of isolates (81%) were methicillin-susceptible S. aureus (MSSA) isolates, and seven MSSA clones included five or more isolates. Three of the MSSA clones included at least five isolates from patients with community-acquired invasive disease and may represent virulent clones with an increased ability to cause disease in otherwise healthy individuals. The most prevalent MSSA clone (17 isolates) was very closely related to EMRSA-16, and the success of the latter clone at causing disease in hospitals may be due to its emergence from a virulent MSSA clone that was already a major cause of invasive disease in both the community and hospital settings. MLST provides an unambiguous method for assigning MRSA and MSSA isolates to known clones or assigning them as novel clones via the Internet.","container-title":"Journal of Clinical Microbiology","DOI":"10.1128/JCM.38.3.1008-1015.2000","ISSN":"0095-1137","issue":"3","journalAbbreviation":"J Clin Microbiol","language":"eng","note":"PMID: 10698988\nPMCID: PMC86325\ntitleTranslation: 多位点序列分型用于金黄色葡萄球菌耐甲氧西林和甲氧西林敏感克隆的鉴定\nJCR分区: Q1\n中科院分区升级版: 医学2区\n影响因子: 6.1\n5年影响因子: 5.8\n南农高质量: A","page":"1008-1015","source":"PubMed","title":"Multilocus sequence typing for characterization of methicillin-resistant and methicillin-susceptible clones of Staphylococcus aureus","volume":"38","author":[{"family":"Enright","given":"M. C."},{"family":"Day","given":"N. P."},{"family":"Davies","given":"C. E."},{"family":"Peacock","given":"S. J."},{"family":"Spratt","given":"B. G."}],"issued":{"date-parts":[["2000",3]]}}}],"schema":"https://github.com/citation-style-language/schema/raw/master/csl-citation.json"}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[1]</w:t>
            </w:r>
            <w:r>
              <w:rPr>
                <w:rFonts w:ascii="Times New Roman" w:hAnsi="Times New Roman" w:cs="Times New Roman"/>
                <w:sz w:val="24"/>
              </w:rPr>
              <w:fldChar w:fldCharType="end"/>
            </w:r>
          </w:p>
        </w:tc>
      </w:tr>
      <w:tr w14:paraId="0BF7D7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72" w:type="pct"/>
            <w:shd w:val="clear" w:color="auto" w:fill="auto"/>
            <w:vAlign w:val="center"/>
          </w:tcPr>
          <w:p w14:paraId="220994D6">
            <w:pPr>
              <w:widowControl/>
              <w:spacing w:line="240" w:lineRule="auto"/>
              <w:jc w:val="center"/>
              <w:rPr>
                <w:rFonts w:ascii="Times New Roman" w:hAnsi="Times New Roman" w:cs="Times New Roman"/>
                <w:sz w:val="24"/>
              </w:rPr>
            </w:pPr>
            <w:r>
              <w:rPr>
                <w:rFonts w:ascii="Times New Roman" w:hAnsi="Times New Roman" w:cs="Times New Roman"/>
                <w:sz w:val="24"/>
              </w:rPr>
              <w:t>arcC-R</w:t>
            </w:r>
          </w:p>
        </w:tc>
        <w:tc>
          <w:tcPr>
            <w:tcW w:w="2867" w:type="pct"/>
            <w:shd w:val="clear" w:color="auto" w:fill="auto"/>
            <w:vAlign w:val="center"/>
          </w:tcPr>
          <w:p w14:paraId="649F888B">
            <w:pPr>
              <w:widowControl/>
              <w:spacing w:line="240" w:lineRule="auto"/>
              <w:jc w:val="center"/>
              <w:rPr>
                <w:rFonts w:ascii="Times New Roman" w:hAnsi="Times New Roman" w:cs="Times New Roman"/>
                <w:sz w:val="24"/>
              </w:rPr>
            </w:pPr>
            <w:r>
              <w:rPr>
                <w:rFonts w:ascii="Times New Roman" w:hAnsi="Times New Roman" w:cs="Times New Roman"/>
                <w:sz w:val="24"/>
              </w:rPr>
              <w:t>ACGTATCTGCTTCAATCAGCG</w:t>
            </w:r>
          </w:p>
        </w:tc>
        <w:tc>
          <w:tcPr>
            <w:tcW w:w="744" w:type="pct"/>
            <w:vMerge w:val="continue"/>
            <w:vAlign w:val="center"/>
          </w:tcPr>
          <w:p w14:paraId="57461C2E">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37B3E8D4">
            <w:pPr>
              <w:widowControl/>
              <w:spacing w:line="240" w:lineRule="auto"/>
              <w:jc w:val="center"/>
              <w:rPr>
                <w:rFonts w:ascii="Times New Roman" w:hAnsi="Times New Roman" w:cs="Times New Roman"/>
                <w:sz w:val="24"/>
              </w:rPr>
            </w:pPr>
          </w:p>
        </w:tc>
      </w:tr>
      <w:tr w14:paraId="735B3C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72" w:type="pct"/>
            <w:shd w:val="clear" w:color="auto" w:fill="auto"/>
            <w:vAlign w:val="center"/>
          </w:tcPr>
          <w:p w14:paraId="3E214B19">
            <w:pPr>
              <w:widowControl/>
              <w:spacing w:line="240" w:lineRule="auto"/>
              <w:jc w:val="center"/>
              <w:rPr>
                <w:rFonts w:ascii="Times New Roman" w:hAnsi="Times New Roman" w:cs="Times New Roman"/>
                <w:sz w:val="24"/>
              </w:rPr>
            </w:pPr>
            <w:r>
              <w:rPr>
                <w:rFonts w:ascii="Times New Roman" w:hAnsi="Times New Roman" w:cs="Times New Roman"/>
                <w:sz w:val="24"/>
              </w:rPr>
              <w:t>aroE-F</w:t>
            </w:r>
          </w:p>
        </w:tc>
        <w:tc>
          <w:tcPr>
            <w:tcW w:w="2867" w:type="pct"/>
            <w:shd w:val="clear" w:color="auto" w:fill="auto"/>
            <w:vAlign w:val="center"/>
          </w:tcPr>
          <w:p w14:paraId="1E4AC3B1">
            <w:pPr>
              <w:widowControl/>
              <w:spacing w:line="240" w:lineRule="auto"/>
              <w:jc w:val="center"/>
              <w:rPr>
                <w:rFonts w:ascii="Times New Roman" w:hAnsi="Times New Roman" w:cs="Times New Roman"/>
                <w:sz w:val="24"/>
              </w:rPr>
            </w:pPr>
            <w:r>
              <w:rPr>
                <w:rFonts w:ascii="Times New Roman" w:hAnsi="Times New Roman" w:cs="Times New Roman"/>
                <w:sz w:val="24"/>
              </w:rPr>
              <w:t>ATCGGAAATCCTATTTCACATTC</w:t>
            </w:r>
          </w:p>
        </w:tc>
        <w:tc>
          <w:tcPr>
            <w:tcW w:w="744" w:type="pct"/>
            <w:vMerge w:val="restart"/>
            <w:vAlign w:val="center"/>
          </w:tcPr>
          <w:p w14:paraId="35422D53">
            <w:pPr>
              <w:widowControl/>
              <w:spacing w:line="240" w:lineRule="auto"/>
              <w:jc w:val="center"/>
              <w:rPr>
                <w:rFonts w:ascii="Times New Roman" w:hAnsi="Times New Roman" w:cs="Times New Roman"/>
                <w:sz w:val="24"/>
              </w:rPr>
            </w:pPr>
            <w:r>
              <w:rPr>
                <w:rFonts w:ascii="Times New Roman" w:hAnsi="Times New Roman" w:cs="Times New Roman"/>
                <w:sz w:val="24"/>
              </w:rPr>
              <w:t>456</w:t>
            </w:r>
          </w:p>
        </w:tc>
        <w:tc>
          <w:tcPr>
            <w:tcW w:w="717" w:type="pct"/>
            <w:vMerge w:val="restart"/>
            <w:shd w:val="clear" w:color="auto" w:fill="auto"/>
            <w:vAlign w:val="center"/>
          </w:tcPr>
          <w:p w14:paraId="46D1A2B1">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{"citationID":"lCnkkZcW","properties":{"formattedCitation":"[1]","plainCitation":"[1]","noteIndex":0},"citationItems":[{"id":1877,"uris":["http://zotero.org/users/13841690/items/7R44LUPP"],"itemData":{"id":1877,"type":"article-journal","abstract":"A multilocus sequence typing (MLST) scheme has been developed for Staphylococcus aureus. The sequences of internal fragments of seven housekeeping genes were obtained for 155 S. aureus isolates from patients with community-acquired and hospital-acquired invasive disease in the Oxford, United Kingdom, area. Fifty-three different allelic profiles were identified, and 17 of these were represented by at least two isolates. The MLST scheme was highly discriminatory and was validated by showing that pairs of isolates with the same allelic profile produced very similar SmaI restriction fragment patterns by pulsed-field gel electrophoresis. All 22 isolates with the most prevalent allelic profile were methicillin-resistant S. aureus (MRSA) isolates and had allelic profiles identical to that of a reference strain of the epidemic MRSA clone 16 (EMRSA-16). Four MRSA isolates that were identical in allelic profile to the other major epidemic MRSA clone prevalent in British hospitals (clone EMRSA-15) were also identified. The majority of isolates (81%) were methicillin-susceptible S. aureus (MSSA) isolates, and seven MSSA clones included five or more isolates. Three of the MSSA clones included at least five isolates from patients with community-acquired invasive disease and may represent virulent clones with an increased ability to cause disease in otherwise healthy individuals. The most prevalent MSSA clone (17 isolates) was very closely related to EMRSA-16, and the success of the latter clone at causing disease in hospitals may be due to its emergence from a virulent MSSA clone that was already a major cause of invasive disease in both the community and hospital settings. MLST provides an unambiguous method for assigning MRSA and MSSA isolates to known clones or assigning them as novel clones via the Internet.","container-title":"Journal of Clinical Microbiology","DOI":"10.1128/JCM.38.3.1008-1015.2000","ISSN":"0095-1137","issue":"3","journalAbbreviation":"J Clin Microbiol","language":"eng","note":"PMID: 10698988\nPMCID: PMC86325\ntitleTranslation: 多位点序列分型用于金黄色葡萄球菌耐甲氧西林和甲氧西林敏感克隆的鉴定\nJCR分区: Q1\n中科院分区升级版: 医学2区\n影响因子: 6.1\n5年影响因子: 5.8\n南农高质量: A","page":"1008-1015","source":"PubMed","title":"Multilocus sequence typing for characterization of methicillin-resistant and methicillin-susceptible clones of Staphylococcus aureus","volume":"38","author":[{"family":"Enright","given":"M. C."},{"family":"Day","given":"N. P."},{"family":"Davies","given":"C. E."},{"family":"Peacock","given":"S. J."},{"family":"Spratt","given":"B. G."}],"issued":{"date-parts":[["2000",3]]}}}],"schema":"https://github.com/citation-style-language/schema/raw/master/csl-citation.json"}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[1]</w:t>
            </w:r>
            <w:r>
              <w:rPr>
                <w:rFonts w:ascii="Times New Roman" w:hAnsi="Times New Roman" w:cs="Times New Roman"/>
                <w:sz w:val="24"/>
              </w:rPr>
              <w:fldChar w:fldCharType="end"/>
            </w:r>
          </w:p>
        </w:tc>
      </w:tr>
      <w:tr w14:paraId="17A9A2A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72" w:type="pct"/>
            <w:shd w:val="clear" w:color="auto" w:fill="auto"/>
            <w:vAlign w:val="center"/>
          </w:tcPr>
          <w:p w14:paraId="0E2B64BF">
            <w:pPr>
              <w:widowControl/>
              <w:spacing w:line="240" w:lineRule="auto"/>
              <w:jc w:val="center"/>
              <w:rPr>
                <w:rFonts w:ascii="Times New Roman" w:hAnsi="Times New Roman" w:cs="Times New Roman"/>
                <w:sz w:val="24"/>
              </w:rPr>
            </w:pPr>
            <w:r>
              <w:rPr>
                <w:rFonts w:ascii="Times New Roman" w:hAnsi="Times New Roman" w:cs="Times New Roman"/>
                <w:sz w:val="24"/>
              </w:rPr>
              <w:t>aroE-R</w:t>
            </w:r>
          </w:p>
        </w:tc>
        <w:tc>
          <w:tcPr>
            <w:tcW w:w="2867" w:type="pct"/>
            <w:shd w:val="clear" w:color="auto" w:fill="auto"/>
            <w:vAlign w:val="center"/>
          </w:tcPr>
          <w:p w14:paraId="31C499D3">
            <w:pPr>
              <w:widowControl/>
              <w:spacing w:line="240" w:lineRule="auto"/>
              <w:jc w:val="center"/>
              <w:rPr>
                <w:rFonts w:ascii="Times New Roman" w:hAnsi="Times New Roman" w:cs="Times New Roman"/>
                <w:sz w:val="24"/>
              </w:rPr>
            </w:pPr>
            <w:r>
              <w:rPr>
                <w:rFonts w:ascii="Times New Roman" w:hAnsi="Times New Roman" w:cs="Times New Roman"/>
                <w:sz w:val="24"/>
              </w:rPr>
              <w:t>GGGTGTTGTATTAATAACGATATC</w:t>
            </w:r>
          </w:p>
        </w:tc>
        <w:tc>
          <w:tcPr>
            <w:tcW w:w="744" w:type="pct"/>
            <w:vMerge w:val="continue"/>
            <w:vAlign w:val="center"/>
          </w:tcPr>
          <w:p w14:paraId="5E4E1475">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7473C06A">
            <w:pPr>
              <w:widowControl/>
              <w:spacing w:line="240" w:lineRule="auto"/>
              <w:jc w:val="center"/>
              <w:rPr>
                <w:rFonts w:ascii="Times New Roman" w:hAnsi="Times New Roman" w:cs="Times New Roman"/>
                <w:sz w:val="24"/>
              </w:rPr>
            </w:pPr>
          </w:p>
        </w:tc>
      </w:tr>
      <w:tr w14:paraId="6B74AB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72" w:type="pct"/>
            <w:shd w:val="clear" w:color="auto" w:fill="auto"/>
            <w:vAlign w:val="center"/>
          </w:tcPr>
          <w:p w14:paraId="61D11211">
            <w:pPr>
              <w:widowControl/>
              <w:spacing w:line="240" w:lineRule="auto"/>
              <w:jc w:val="center"/>
              <w:rPr>
                <w:rFonts w:ascii="Times New Roman" w:hAnsi="Times New Roman" w:cs="Times New Roman"/>
                <w:sz w:val="24"/>
              </w:rPr>
            </w:pPr>
            <w:r>
              <w:rPr>
                <w:rFonts w:ascii="Times New Roman" w:hAnsi="Times New Roman" w:cs="Times New Roman"/>
                <w:sz w:val="24"/>
              </w:rPr>
              <w:t>glpF-F</w:t>
            </w:r>
          </w:p>
        </w:tc>
        <w:tc>
          <w:tcPr>
            <w:tcW w:w="2867" w:type="pct"/>
            <w:shd w:val="clear" w:color="auto" w:fill="auto"/>
            <w:vAlign w:val="center"/>
          </w:tcPr>
          <w:p w14:paraId="2CAF01A0">
            <w:pPr>
              <w:widowControl/>
              <w:spacing w:line="240" w:lineRule="auto"/>
              <w:jc w:val="center"/>
              <w:rPr>
                <w:rFonts w:ascii="Times New Roman" w:hAnsi="Times New Roman" w:cs="Times New Roman"/>
                <w:sz w:val="24"/>
              </w:rPr>
            </w:pPr>
            <w:r>
              <w:rPr>
                <w:rFonts w:ascii="Times New Roman" w:hAnsi="Times New Roman" w:cs="Times New Roman"/>
                <w:sz w:val="24"/>
              </w:rPr>
              <w:t>CTAGGAACTGCAATCTTAATCC</w:t>
            </w:r>
          </w:p>
        </w:tc>
        <w:tc>
          <w:tcPr>
            <w:tcW w:w="744" w:type="pct"/>
            <w:vMerge w:val="restart"/>
            <w:vAlign w:val="center"/>
          </w:tcPr>
          <w:p w14:paraId="50DE1CBC">
            <w:pPr>
              <w:widowControl/>
              <w:spacing w:line="240" w:lineRule="auto"/>
              <w:jc w:val="center"/>
              <w:rPr>
                <w:rFonts w:ascii="Times New Roman" w:hAnsi="Times New Roman" w:cs="Times New Roman"/>
                <w:sz w:val="24"/>
              </w:rPr>
            </w:pPr>
            <w:r>
              <w:rPr>
                <w:rFonts w:ascii="Times New Roman" w:hAnsi="Times New Roman" w:cs="Times New Roman"/>
                <w:sz w:val="24"/>
              </w:rPr>
              <w:t>465</w:t>
            </w:r>
          </w:p>
        </w:tc>
        <w:tc>
          <w:tcPr>
            <w:tcW w:w="717" w:type="pct"/>
            <w:vMerge w:val="restart"/>
            <w:shd w:val="clear" w:color="auto" w:fill="auto"/>
            <w:vAlign w:val="center"/>
          </w:tcPr>
          <w:p w14:paraId="74012851">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{"citationID":"UEtn09Fj","properties":{"formattedCitation":"[1]","plainCitation":"[1]","noteIndex":0},"citationItems":[{"id":1877,"uris":["http://zotero.org/users/13841690/items/7R44LUPP"],"itemData":{"id":1877,"type":"article-journal","abstract":"A multilocus sequence typing (MLST) scheme has been developed for Staphylococcus aureus. The sequences of internal fragments of seven housekeeping genes were obtained for 155 S. aureus isolates from patients with community-acquired and hospital-acquired invasive disease in the Oxford, United Kingdom, area. Fifty-three different allelic profiles were identified, and 17 of these were represented by at least two isolates. The MLST scheme was highly discriminatory and was validated by showing that pairs of isolates with the same allelic profile produced very similar SmaI restriction fragment patterns by pulsed-field gel electrophoresis. All 22 isolates with the most prevalent allelic profile were methicillin-resistant S. aureus (MRSA) isolates and had allelic profiles identical to that of a reference strain of the epidemic MRSA clone 16 (EMRSA-16). Four MRSA isolates that were identical in allelic profile to the other major epidemic MRSA clone prevalent in British hospitals (clone EMRSA-15) were also identified. The majority of isolates (81%) were methicillin-susceptible S. aureus (MSSA) isolates, and seven MSSA clones included five or more isolates. Three of the MSSA clones included at least five isolates from patients with community-acquired invasive disease and may represent virulent clones with an increased ability to cause disease in otherwise healthy individuals. The most prevalent MSSA clone (17 isolates) was very closely related to EMRSA-16, and the success of the latter clone at causing disease in hospitals may be due to its emergence from a virulent MSSA clone that was already a major cause of invasive disease in both the community and hospital settings. MLST provides an unambiguous method for assigning MRSA and MSSA isolates to known clones or assigning them as novel clones via the Internet.","container-title":"Journal of Clinical Microbiology","DOI":"10.1128/JCM.38.3.1008-1015.2000","ISSN":"0095-1137","issue":"3","journalAbbreviation":"J Clin Microbiol","language":"eng","note":"PMID: 10698988\nPMCID: PMC86325\ntitleTranslation: 多位点序列分型用于金黄色葡萄球菌耐甲氧西林和甲氧西林敏感克隆的鉴定\nJCR分区: Q1\n中科院分区升级版: 医学2区\n影响因子: 6.1\n5年影响因子: 5.8\n南农高质量: A","page":"1008-1015","source":"PubMed","title":"Multilocus sequence typing for characterization of methicillin-resistant and methicillin-susceptible clones of Staphylococcus aureus","volume":"38","author":[{"family":"Enright","given":"M. C."},{"family":"Day","given":"N. P."},{"family":"Davies","given":"C. E."},{"family":"Peacock","given":"S. J."},{"family":"Spratt","given":"B. G."}],"issued":{"date-parts":[["2000",3]]}}}],"schema":"https://github.com/citation-style-language/schema/raw/master/csl-citation.json"}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[1]</w:t>
            </w:r>
            <w:r>
              <w:rPr>
                <w:rFonts w:ascii="Times New Roman" w:hAnsi="Times New Roman" w:cs="Times New Roman"/>
                <w:sz w:val="24"/>
              </w:rPr>
              <w:fldChar w:fldCharType="end"/>
            </w:r>
          </w:p>
        </w:tc>
      </w:tr>
      <w:tr w14:paraId="65719B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72" w:type="pct"/>
            <w:shd w:val="clear" w:color="auto" w:fill="auto"/>
            <w:vAlign w:val="center"/>
          </w:tcPr>
          <w:p w14:paraId="75DD91C0">
            <w:pPr>
              <w:widowControl/>
              <w:spacing w:line="240" w:lineRule="auto"/>
              <w:jc w:val="center"/>
              <w:rPr>
                <w:rFonts w:ascii="Times New Roman" w:hAnsi="Times New Roman" w:cs="Times New Roman"/>
                <w:sz w:val="24"/>
              </w:rPr>
            </w:pPr>
            <w:r>
              <w:rPr>
                <w:rFonts w:ascii="Times New Roman" w:hAnsi="Times New Roman" w:cs="Times New Roman"/>
                <w:sz w:val="24"/>
              </w:rPr>
              <w:t>glpF-R</w:t>
            </w:r>
          </w:p>
        </w:tc>
        <w:tc>
          <w:tcPr>
            <w:tcW w:w="2867" w:type="pct"/>
            <w:shd w:val="clear" w:color="auto" w:fill="auto"/>
            <w:vAlign w:val="center"/>
          </w:tcPr>
          <w:p w14:paraId="502D63AB">
            <w:pPr>
              <w:widowControl/>
              <w:spacing w:line="240" w:lineRule="auto"/>
              <w:jc w:val="center"/>
              <w:rPr>
                <w:rFonts w:ascii="Times New Roman" w:hAnsi="Times New Roman" w:cs="Times New Roman"/>
                <w:sz w:val="24"/>
              </w:rPr>
            </w:pPr>
            <w:r>
              <w:rPr>
                <w:rFonts w:ascii="Times New Roman" w:hAnsi="Times New Roman" w:cs="Times New Roman"/>
                <w:sz w:val="24"/>
              </w:rPr>
              <w:t>TGGTAAAATCGCATGTCCAATTC</w:t>
            </w:r>
          </w:p>
        </w:tc>
        <w:tc>
          <w:tcPr>
            <w:tcW w:w="744" w:type="pct"/>
            <w:vMerge w:val="continue"/>
            <w:vAlign w:val="center"/>
          </w:tcPr>
          <w:p w14:paraId="785566C4">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7F5470A0">
            <w:pPr>
              <w:widowControl/>
              <w:spacing w:line="240" w:lineRule="auto"/>
              <w:jc w:val="center"/>
              <w:rPr>
                <w:rFonts w:ascii="Times New Roman" w:hAnsi="Times New Roman" w:cs="Times New Roman"/>
                <w:sz w:val="24"/>
              </w:rPr>
            </w:pPr>
          </w:p>
        </w:tc>
      </w:tr>
      <w:tr w14:paraId="2EE7DB3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72" w:type="pct"/>
            <w:shd w:val="clear" w:color="auto" w:fill="auto"/>
            <w:vAlign w:val="center"/>
          </w:tcPr>
          <w:p w14:paraId="5255C4A5">
            <w:pPr>
              <w:widowControl/>
              <w:spacing w:line="240" w:lineRule="auto"/>
              <w:jc w:val="center"/>
              <w:rPr>
                <w:rFonts w:ascii="Times New Roman" w:hAnsi="Times New Roman" w:cs="Times New Roman"/>
                <w:sz w:val="24"/>
              </w:rPr>
            </w:pPr>
            <w:r>
              <w:rPr>
                <w:rFonts w:ascii="Times New Roman" w:hAnsi="Times New Roman" w:cs="Times New Roman"/>
                <w:sz w:val="24"/>
              </w:rPr>
              <w:t>gmk-F</w:t>
            </w:r>
          </w:p>
        </w:tc>
        <w:tc>
          <w:tcPr>
            <w:tcW w:w="2867" w:type="pct"/>
            <w:shd w:val="clear" w:color="auto" w:fill="auto"/>
            <w:vAlign w:val="center"/>
          </w:tcPr>
          <w:p w14:paraId="3F65CB01">
            <w:pPr>
              <w:widowControl/>
              <w:spacing w:line="240" w:lineRule="auto"/>
              <w:jc w:val="center"/>
              <w:rPr>
                <w:rFonts w:ascii="Times New Roman" w:hAnsi="Times New Roman" w:cs="Times New Roman"/>
                <w:sz w:val="24"/>
              </w:rPr>
            </w:pPr>
            <w:r>
              <w:rPr>
                <w:rFonts w:ascii="Times New Roman" w:hAnsi="Times New Roman" w:cs="Times New Roman"/>
                <w:sz w:val="24"/>
              </w:rPr>
              <w:t>ATCGTTTTATCGGGACCATC</w:t>
            </w:r>
          </w:p>
        </w:tc>
        <w:tc>
          <w:tcPr>
            <w:tcW w:w="744" w:type="pct"/>
            <w:vMerge w:val="restart"/>
            <w:vAlign w:val="center"/>
          </w:tcPr>
          <w:p w14:paraId="3F29AFC4">
            <w:pPr>
              <w:widowControl/>
              <w:spacing w:line="240" w:lineRule="auto"/>
              <w:jc w:val="center"/>
              <w:rPr>
                <w:rFonts w:ascii="Times New Roman" w:hAnsi="Times New Roman" w:cs="Times New Roman"/>
                <w:sz w:val="24"/>
              </w:rPr>
            </w:pPr>
            <w:r>
              <w:rPr>
                <w:rFonts w:ascii="Times New Roman" w:hAnsi="Times New Roman" w:cs="Times New Roman"/>
                <w:sz w:val="24"/>
              </w:rPr>
              <w:t>429</w:t>
            </w:r>
          </w:p>
        </w:tc>
        <w:tc>
          <w:tcPr>
            <w:tcW w:w="717" w:type="pct"/>
            <w:vMerge w:val="restart"/>
            <w:shd w:val="clear" w:color="auto" w:fill="auto"/>
            <w:vAlign w:val="center"/>
          </w:tcPr>
          <w:p w14:paraId="3D48DA34">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{"citationID":"VJIDZbnO","properties":{"formattedCitation":"[1]","plainCitation":"[1]","noteIndex":0},"citationItems":[{"id":1877,"uris":["http://zotero.org/users/13841690/items/7R44LUPP"],"itemData":{"id":1877,"type":"article-journal","abstract":"A multilocus sequence typing (MLST) scheme has been developed for Staphylococcus aureus. The sequences of internal fragments of seven housekeeping genes were obtained for 155 S. aureus isolates from patients with community-acquired and hospital-acquired invasive disease in the Oxford, United Kingdom, area. Fifty-three different allelic profiles were identified, and 17 of these were represented by at least two isolates. The MLST scheme was highly discriminatory and was validated by showing that pairs of isolates with the same allelic profile produced very similar SmaI restriction fragment patterns by pulsed-field gel electrophoresis. All 22 isolates with the most prevalent allelic profile were methicillin-resistant S. aureus (MRSA) isolates and had allelic profiles identical to that of a reference strain of the epidemic MRSA clone 16 (EMRSA-16). Four MRSA isolates that were identical in allelic profile to the other major epidemic MRSA clone prevalent in British hospitals (clone EMRSA-15) were also identified. The majority of isolates (81%) were methicillin-susceptible S. aureus (MSSA) isolates, and seven MSSA clones included five or more isolates. Three of the MSSA clones included at least five isolates from patients with community-acquired invasive disease and may represent virulent clones with an increased ability to cause disease in otherwise healthy individuals. The most prevalent MSSA clone (17 isolates) was very closely related to EMRSA-16, and the success of the latter clone at causing disease in hospitals may be due to its emergence from a virulent MSSA clone that was already a major cause of invasive disease in both the community and hospital settings. MLST provides an unambiguous method for assigning MRSA and MSSA isolates to known clones or assigning them as novel clones via the Internet.","container-title":"Journal of Clinical Microbiology","DOI":"10.1128/JCM.38.3.1008-1015.2000","ISSN":"0095-1137","issue":"3","journalAbbreviation":"J Clin Microbiol","language":"eng","note":"PMID: 10698988\nPMCID: PMC86325\ntitleTranslation: 多位点序列分型用于金黄色葡萄球菌耐甲氧西林和甲氧西林敏感克隆的鉴定\nJCR分区: Q1\n中科院分区升级版: 医学2区\n影响因子: 6.1\n5年影响因子: 5.8\n南农高质量: A","page":"1008-1015","source":"PubMed","title":"Multilocus sequence typing for characterization of methicillin-resistant and methicillin-susceptible clones of Staphylococcus aureus","volume":"38","author":[{"family":"Enright","given":"M. C."},{"family":"Day","given":"N. P."},{"family":"Davies","given":"C. E."},{"family":"Peacock","given":"S. J."},{"family":"Spratt","given":"B. G."}],"issued":{"date-parts":[["2000",3]]}}}],"schema":"https://github.com/citation-style-language/schema/raw/master/csl-citation.json"}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[1]</w:t>
            </w:r>
            <w:r>
              <w:rPr>
                <w:rFonts w:ascii="Times New Roman" w:hAnsi="Times New Roman" w:cs="Times New Roman"/>
                <w:sz w:val="24"/>
              </w:rPr>
              <w:fldChar w:fldCharType="end"/>
            </w:r>
          </w:p>
        </w:tc>
      </w:tr>
      <w:tr w14:paraId="71C0C2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72" w:type="pct"/>
            <w:shd w:val="clear" w:color="auto" w:fill="auto"/>
            <w:vAlign w:val="center"/>
          </w:tcPr>
          <w:p w14:paraId="0FD20DD9">
            <w:pPr>
              <w:widowControl/>
              <w:spacing w:line="240" w:lineRule="auto"/>
              <w:jc w:val="center"/>
              <w:rPr>
                <w:rFonts w:ascii="Times New Roman" w:hAnsi="Times New Roman" w:cs="Times New Roman"/>
                <w:sz w:val="24"/>
              </w:rPr>
            </w:pPr>
            <w:r>
              <w:rPr>
                <w:rFonts w:ascii="Times New Roman" w:hAnsi="Times New Roman" w:cs="Times New Roman"/>
                <w:sz w:val="24"/>
              </w:rPr>
              <w:t>gmk-R</w:t>
            </w:r>
          </w:p>
        </w:tc>
        <w:tc>
          <w:tcPr>
            <w:tcW w:w="2867" w:type="pct"/>
            <w:shd w:val="clear" w:color="auto" w:fill="auto"/>
            <w:vAlign w:val="center"/>
          </w:tcPr>
          <w:p w14:paraId="086A0624">
            <w:pPr>
              <w:widowControl/>
              <w:spacing w:line="240" w:lineRule="auto"/>
              <w:jc w:val="center"/>
              <w:rPr>
                <w:rFonts w:ascii="Times New Roman" w:hAnsi="Times New Roman" w:cs="Times New Roman"/>
                <w:sz w:val="24"/>
              </w:rPr>
            </w:pPr>
            <w:r>
              <w:rPr>
                <w:rFonts w:ascii="Times New Roman" w:hAnsi="Times New Roman" w:cs="Times New Roman"/>
                <w:sz w:val="24"/>
              </w:rPr>
              <w:t>TCATTAACTACAACGTAATCGTA</w:t>
            </w:r>
          </w:p>
        </w:tc>
        <w:tc>
          <w:tcPr>
            <w:tcW w:w="744" w:type="pct"/>
            <w:vMerge w:val="continue"/>
            <w:vAlign w:val="center"/>
          </w:tcPr>
          <w:p w14:paraId="667A516B">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7D925481">
            <w:pPr>
              <w:widowControl/>
              <w:spacing w:line="240" w:lineRule="auto"/>
              <w:jc w:val="center"/>
              <w:rPr>
                <w:rFonts w:ascii="Times New Roman" w:hAnsi="Times New Roman" w:cs="Times New Roman"/>
                <w:sz w:val="24"/>
              </w:rPr>
            </w:pPr>
          </w:p>
        </w:tc>
      </w:tr>
      <w:tr w14:paraId="172CB9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72" w:type="pct"/>
            <w:shd w:val="clear" w:color="auto" w:fill="auto"/>
            <w:vAlign w:val="center"/>
          </w:tcPr>
          <w:p w14:paraId="0AF2F9EE">
            <w:pPr>
              <w:widowControl/>
              <w:spacing w:line="240" w:lineRule="auto"/>
              <w:jc w:val="center"/>
              <w:rPr>
                <w:rFonts w:ascii="Times New Roman" w:hAnsi="Times New Roman" w:cs="Times New Roman"/>
                <w:sz w:val="24"/>
              </w:rPr>
            </w:pPr>
            <w:r>
              <w:rPr>
                <w:rFonts w:ascii="Times New Roman" w:hAnsi="Times New Roman" w:cs="Times New Roman"/>
                <w:sz w:val="24"/>
              </w:rPr>
              <w:t>pta-F</w:t>
            </w:r>
          </w:p>
        </w:tc>
        <w:tc>
          <w:tcPr>
            <w:tcW w:w="2867" w:type="pct"/>
            <w:shd w:val="clear" w:color="auto" w:fill="auto"/>
            <w:vAlign w:val="center"/>
          </w:tcPr>
          <w:p w14:paraId="266AC6F3">
            <w:pPr>
              <w:widowControl/>
              <w:spacing w:line="240" w:lineRule="auto"/>
              <w:jc w:val="center"/>
              <w:rPr>
                <w:rFonts w:ascii="Times New Roman" w:hAnsi="Times New Roman" w:cs="Times New Roman"/>
                <w:sz w:val="24"/>
              </w:rPr>
            </w:pPr>
            <w:r>
              <w:rPr>
                <w:rFonts w:ascii="Times New Roman" w:hAnsi="Times New Roman" w:cs="Times New Roman"/>
                <w:sz w:val="24"/>
              </w:rPr>
              <w:t>GTTAAAATCGTATTACCTGAAGG</w:t>
            </w:r>
          </w:p>
        </w:tc>
        <w:tc>
          <w:tcPr>
            <w:tcW w:w="744" w:type="pct"/>
            <w:vMerge w:val="restart"/>
            <w:vAlign w:val="center"/>
          </w:tcPr>
          <w:p w14:paraId="695F278D">
            <w:pPr>
              <w:widowControl/>
              <w:spacing w:line="240" w:lineRule="auto"/>
              <w:jc w:val="center"/>
              <w:rPr>
                <w:rFonts w:ascii="Times New Roman" w:hAnsi="Times New Roman" w:cs="Times New Roman"/>
                <w:sz w:val="24"/>
              </w:rPr>
            </w:pPr>
            <w:r>
              <w:rPr>
                <w:rFonts w:ascii="Times New Roman" w:hAnsi="Times New Roman" w:cs="Times New Roman"/>
                <w:sz w:val="24"/>
              </w:rPr>
              <w:t>474</w:t>
            </w:r>
          </w:p>
        </w:tc>
        <w:tc>
          <w:tcPr>
            <w:tcW w:w="717" w:type="pct"/>
            <w:vMerge w:val="restart"/>
            <w:shd w:val="clear" w:color="auto" w:fill="auto"/>
            <w:vAlign w:val="center"/>
          </w:tcPr>
          <w:p w14:paraId="027D2CCF">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{"citationID":"bJO1fq7V","properties":{"formattedCitation":"[1]","plainCitation":"[1]","noteIndex":0},"citationItems":[{"id":1877,"uris":["http://zotero.org/users/13841690/items/7R44LUPP"],"itemData":{"id":1877,"type":"article-journal","abstract":"A multilocus sequence typing (MLST) scheme has been developed for Staphylococcus aureus. The sequences of internal fragments of seven housekeeping genes were obtained for 155 S. aureus isolates from patients with community-acquired and hospital-acquired invasive disease in the Oxford, United Kingdom, area. Fifty-three different allelic profiles were identified, and 17 of these were represented by at least two isolates. The MLST scheme was highly discriminatory and was validated by showing that pairs of isolates with the same allelic profile produced very similar SmaI restriction fragment patterns by pulsed-field gel electrophoresis. All 22 isolates with the most prevalent allelic profile were methicillin-resistant S. aureus (MRSA) isolates and had allelic profiles identical to that of a reference strain of the epidemic MRSA clone 16 (EMRSA-16). Four MRSA isolates that were identical in allelic profile to the other major epidemic MRSA clone prevalent in British hospitals (clone EMRSA-15) were also identified. The majority of isolates (81%) were methicillin-susceptible S. aureus (MSSA) isolates, and seven MSSA clones included five or more isolates. Three of the MSSA clones included at least five isolates from patients with community-acquired invasive disease and may represent virulent clones with an increased ability to cause disease in otherwise healthy individuals. The most prevalent MSSA clone (17 isolates) was very closely related to EMRSA-16, and the success of the latter clone at causing disease in hospitals may be due to its emergence from a virulent MSSA clone that was already a major cause of invasive disease in both the community and hospital settings. MLST provides an unambiguous method for assigning MRSA and MSSA isolates to known clones or assigning them as novel clones via the Internet.","container-title":"Journal of Clinical Microbiology","DOI":"10.1128/JCM.38.3.1008-1015.2000","ISSN":"0095-1137","issue":"3","journalAbbreviation":"J Clin Microbiol","language":"eng","note":"PMID: 10698988\nPMCID: PMC86325\ntitleTranslation: 多位点序列分型用于金黄色葡萄球菌耐甲氧西林和甲氧西林敏感克隆的鉴定\nJCR分区: Q1\n中科院分区升级版: 医学2区\n影响因子: 6.1\n5年影响因子: 5.8\n南农高质量: A","page":"1008-1015","source":"PubMed","title":"Multilocus sequence typing for characterization of methicillin-resistant and methicillin-susceptible clones of Staphylococcus aureus","volume":"38","author":[{"family":"Enright","given":"M. C."},{"family":"Day","given":"N. P."},{"family":"Davies","given":"C. E."},{"family":"Peacock","given":"S. J."},{"family":"Spratt","given":"B. G."}],"issued":{"date-parts":[["2000",3]]}}}],"schema":"https://github.com/citation-style-language/schema/raw/master/csl-citation.json"}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[1]</w:t>
            </w:r>
            <w:r>
              <w:rPr>
                <w:rFonts w:ascii="Times New Roman" w:hAnsi="Times New Roman" w:cs="Times New Roman"/>
                <w:sz w:val="24"/>
              </w:rPr>
              <w:fldChar w:fldCharType="end"/>
            </w:r>
          </w:p>
        </w:tc>
      </w:tr>
      <w:tr w14:paraId="59187BF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72" w:type="pct"/>
            <w:shd w:val="clear" w:color="auto" w:fill="auto"/>
            <w:vAlign w:val="center"/>
          </w:tcPr>
          <w:p w14:paraId="29E2799A">
            <w:pPr>
              <w:widowControl/>
              <w:spacing w:line="240" w:lineRule="auto"/>
              <w:jc w:val="center"/>
              <w:rPr>
                <w:rFonts w:ascii="Times New Roman" w:hAnsi="Times New Roman" w:cs="Times New Roman"/>
                <w:sz w:val="24"/>
              </w:rPr>
            </w:pPr>
            <w:r>
              <w:rPr>
                <w:rFonts w:ascii="Times New Roman" w:hAnsi="Times New Roman" w:cs="Times New Roman"/>
                <w:sz w:val="24"/>
              </w:rPr>
              <w:t>pta-R</w:t>
            </w:r>
          </w:p>
        </w:tc>
        <w:tc>
          <w:tcPr>
            <w:tcW w:w="2867" w:type="pct"/>
            <w:shd w:val="clear" w:color="auto" w:fill="auto"/>
            <w:vAlign w:val="center"/>
          </w:tcPr>
          <w:p w14:paraId="705FC329">
            <w:pPr>
              <w:widowControl/>
              <w:spacing w:line="240" w:lineRule="auto"/>
              <w:jc w:val="center"/>
              <w:rPr>
                <w:rFonts w:ascii="Times New Roman" w:hAnsi="Times New Roman" w:cs="Times New Roman"/>
                <w:sz w:val="24"/>
              </w:rPr>
            </w:pPr>
            <w:r>
              <w:rPr>
                <w:rFonts w:ascii="Times New Roman" w:hAnsi="Times New Roman" w:cs="Times New Roman"/>
                <w:sz w:val="24"/>
              </w:rPr>
              <w:t>GACCCTTTTGTTGAAAAAGCTTA</w:t>
            </w:r>
          </w:p>
        </w:tc>
        <w:tc>
          <w:tcPr>
            <w:tcW w:w="744" w:type="pct"/>
            <w:vMerge w:val="continue"/>
            <w:vAlign w:val="center"/>
          </w:tcPr>
          <w:p w14:paraId="24CF0145">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347073D5">
            <w:pPr>
              <w:widowControl/>
              <w:spacing w:line="240" w:lineRule="auto"/>
              <w:jc w:val="center"/>
              <w:rPr>
                <w:rFonts w:ascii="Times New Roman" w:hAnsi="Times New Roman" w:cs="Times New Roman"/>
                <w:sz w:val="24"/>
              </w:rPr>
            </w:pPr>
          </w:p>
        </w:tc>
      </w:tr>
      <w:tr w14:paraId="07702E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72" w:type="pct"/>
            <w:shd w:val="clear" w:color="auto" w:fill="auto"/>
            <w:vAlign w:val="center"/>
          </w:tcPr>
          <w:p w14:paraId="1B584E15">
            <w:pPr>
              <w:widowControl/>
              <w:spacing w:line="240" w:lineRule="auto"/>
              <w:jc w:val="center"/>
              <w:rPr>
                <w:rFonts w:ascii="Times New Roman" w:hAnsi="Times New Roman" w:cs="Times New Roman"/>
                <w:sz w:val="24"/>
              </w:rPr>
            </w:pPr>
            <w:r>
              <w:rPr>
                <w:rFonts w:ascii="Times New Roman" w:hAnsi="Times New Roman" w:cs="Times New Roman"/>
                <w:sz w:val="24"/>
              </w:rPr>
              <w:t>tpi-F</w:t>
            </w:r>
          </w:p>
        </w:tc>
        <w:tc>
          <w:tcPr>
            <w:tcW w:w="2867" w:type="pct"/>
            <w:shd w:val="clear" w:color="auto" w:fill="auto"/>
            <w:vAlign w:val="center"/>
          </w:tcPr>
          <w:p w14:paraId="25B83A92">
            <w:pPr>
              <w:widowControl/>
              <w:spacing w:line="240" w:lineRule="auto"/>
              <w:jc w:val="center"/>
              <w:rPr>
                <w:rFonts w:ascii="Times New Roman" w:hAnsi="Times New Roman" w:cs="Times New Roman"/>
                <w:sz w:val="24"/>
              </w:rPr>
            </w:pPr>
            <w:r>
              <w:rPr>
                <w:rFonts w:ascii="Times New Roman" w:hAnsi="Times New Roman" w:cs="Times New Roman"/>
                <w:sz w:val="24"/>
              </w:rPr>
              <w:t>TCGTTCATTCTGAACGTCGTGAA</w:t>
            </w:r>
          </w:p>
        </w:tc>
        <w:tc>
          <w:tcPr>
            <w:tcW w:w="744" w:type="pct"/>
            <w:vMerge w:val="restart"/>
            <w:vAlign w:val="center"/>
          </w:tcPr>
          <w:p w14:paraId="27ABBCB2">
            <w:pPr>
              <w:widowControl/>
              <w:spacing w:line="240" w:lineRule="auto"/>
              <w:jc w:val="center"/>
              <w:rPr>
                <w:rFonts w:ascii="Times New Roman" w:hAnsi="Times New Roman" w:cs="Times New Roman"/>
                <w:sz w:val="24"/>
              </w:rPr>
            </w:pPr>
            <w:r>
              <w:rPr>
                <w:rFonts w:ascii="Times New Roman" w:hAnsi="Times New Roman" w:cs="Times New Roman"/>
                <w:sz w:val="24"/>
              </w:rPr>
              <w:t>402</w:t>
            </w:r>
          </w:p>
        </w:tc>
        <w:tc>
          <w:tcPr>
            <w:tcW w:w="717" w:type="pct"/>
            <w:vMerge w:val="restart"/>
            <w:shd w:val="clear" w:color="auto" w:fill="auto"/>
            <w:vAlign w:val="center"/>
          </w:tcPr>
          <w:p w14:paraId="0272C159">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{"citationID":"ZhrKOsdJ","properties":{"formattedCitation":"[1]","plainCitation":"[1]","noteIndex":0},"citationItems":[{"id":1877,"uris":["http://zotero.org/users/13841690/items/7R44LUPP"],"itemData":{"id":1877,"type":"article-journal","abstract":"A multilocus sequence typing (MLST) scheme has been developed for Staphylococcus aureus. The sequences of internal fragments of seven housekeeping genes were obtained for 155 S. aureus isolates from patients with community-acquired and hospital-acquired invasive disease in the Oxford, United Kingdom, area. Fifty-three different allelic profiles were identified, and 17 of these were represented by at least two isolates. The MLST scheme was highly discriminatory and was validated by showing that pairs of isolates with the same allelic profile produced very similar SmaI restriction fragment patterns by pulsed-field gel electrophoresis. All 22 isolates with the most prevalent allelic profile were methicillin-resistant S. aureus (MRSA) isolates and had allelic profiles identical to that of a reference strain of the epidemic MRSA clone 16 (EMRSA-16). Four MRSA isolates that were identical in allelic profile to the other major epidemic MRSA clone prevalent in British hospitals (clone EMRSA-15) were also identified. The majority of isolates (81%) were methicillin-susceptible S. aureus (MSSA) isolates, and seven MSSA clones included five or more isolates. Three of the MSSA clones included at least five isolates from patients with community-acquired invasive disease and may represent virulent clones with an increased ability to cause disease in otherwise healthy individuals. The most prevalent MSSA clone (17 isolates) was very closely related to EMRSA-16, and the success of the latter clone at causing disease in hospitals may be due to its emergence from a virulent MSSA clone that was already a major cause of invasive disease in both the community and hospital settings. MLST provides an unambiguous method for assigning MRSA and MSSA isolates to known clones or assigning them as novel clones via the Internet.","container-title":"Journal of Clinical Microbiology","DOI":"10.1128/JCM.38.3.1008-1015.2000","ISSN":"0095-1137","issue":"3","journalAbbreviation":"J Clin Microbiol","language":"eng","note":"PMID: 10698988\nPMCID: PMC86325\ntitleTranslation: 多位点序列分型用于金黄色葡萄球菌耐甲氧西林和甲氧西林敏感克隆的鉴定\nJCR分区: Q1\n中科院分区升级版: 医学2区\n影响因子: 6.1\n5年影响因子: 5.8\n南农高质量: A","page":"1008-1015","source":"PubMed","title":"Multilocus sequence typing for characterization of methicillin-resistant and methicillin-susceptible clones of Staphylococcus aureus","volume":"38","author":[{"family":"Enright","given":"M. C."},{"family":"Day","given":"N. P."},{"family":"Davies","given":"C. E."},{"family":"Peacock","given":"S. J."},{"family":"Spratt","given":"B. G."}],"issued":{"date-parts":[["2000",3]]}}}],"schema":"https://github.com/citation-style-language/schema/raw/master/csl-citation.json"}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[1]</w:t>
            </w:r>
            <w:r>
              <w:rPr>
                <w:rFonts w:ascii="Times New Roman" w:hAnsi="Times New Roman" w:cs="Times New Roman"/>
                <w:sz w:val="24"/>
              </w:rPr>
              <w:fldChar w:fldCharType="end"/>
            </w:r>
          </w:p>
        </w:tc>
      </w:tr>
      <w:tr w14:paraId="1AD493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72" w:type="pct"/>
            <w:shd w:val="clear" w:color="auto" w:fill="auto"/>
            <w:vAlign w:val="center"/>
          </w:tcPr>
          <w:p w14:paraId="75A75832">
            <w:pPr>
              <w:widowControl/>
              <w:spacing w:line="240" w:lineRule="auto"/>
              <w:jc w:val="center"/>
              <w:rPr>
                <w:rFonts w:ascii="Times New Roman" w:hAnsi="Times New Roman" w:cs="Times New Roman"/>
                <w:sz w:val="24"/>
              </w:rPr>
            </w:pPr>
            <w:r>
              <w:rPr>
                <w:rFonts w:ascii="Times New Roman" w:hAnsi="Times New Roman" w:cs="Times New Roman"/>
                <w:sz w:val="24"/>
              </w:rPr>
              <w:t>tpi-R</w:t>
            </w:r>
          </w:p>
        </w:tc>
        <w:tc>
          <w:tcPr>
            <w:tcW w:w="2867" w:type="pct"/>
            <w:shd w:val="clear" w:color="auto" w:fill="auto"/>
            <w:vAlign w:val="center"/>
          </w:tcPr>
          <w:p w14:paraId="2FEF78AE">
            <w:pPr>
              <w:widowControl/>
              <w:spacing w:line="240" w:lineRule="auto"/>
              <w:jc w:val="center"/>
              <w:rPr>
                <w:rFonts w:ascii="Times New Roman" w:hAnsi="Times New Roman" w:cs="Times New Roman"/>
                <w:sz w:val="24"/>
              </w:rPr>
            </w:pPr>
            <w:r>
              <w:rPr>
                <w:rFonts w:ascii="Times New Roman" w:hAnsi="Times New Roman" w:cs="Times New Roman"/>
                <w:sz w:val="24"/>
              </w:rPr>
              <w:t>TTTGCACCTTCTAACAATTGTAC</w:t>
            </w:r>
          </w:p>
        </w:tc>
        <w:tc>
          <w:tcPr>
            <w:tcW w:w="744" w:type="pct"/>
            <w:vMerge w:val="continue"/>
            <w:vAlign w:val="center"/>
          </w:tcPr>
          <w:p w14:paraId="10F585F4">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362093D8">
            <w:pPr>
              <w:widowControl/>
              <w:spacing w:line="240" w:lineRule="auto"/>
              <w:jc w:val="center"/>
              <w:rPr>
                <w:rFonts w:ascii="Times New Roman" w:hAnsi="Times New Roman" w:cs="Times New Roman"/>
                <w:sz w:val="24"/>
              </w:rPr>
            </w:pPr>
          </w:p>
        </w:tc>
      </w:tr>
      <w:tr w14:paraId="2264F55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72" w:type="pct"/>
            <w:shd w:val="clear" w:color="auto" w:fill="auto"/>
            <w:vAlign w:val="center"/>
          </w:tcPr>
          <w:p w14:paraId="6835BF49">
            <w:pPr>
              <w:widowControl/>
              <w:spacing w:line="240" w:lineRule="auto"/>
              <w:jc w:val="center"/>
              <w:rPr>
                <w:rFonts w:ascii="Times New Roman" w:hAnsi="Times New Roman" w:cs="Times New Roman"/>
                <w:sz w:val="24"/>
              </w:rPr>
            </w:pPr>
            <w:r>
              <w:rPr>
                <w:rFonts w:ascii="Times New Roman" w:hAnsi="Times New Roman" w:cs="Times New Roman"/>
                <w:sz w:val="24"/>
              </w:rPr>
              <w:t>yqiL-F</w:t>
            </w:r>
          </w:p>
        </w:tc>
        <w:tc>
          <w:tcPr>
            <w:tcW w:w="2867" w:type="pct"/>
            <w:shd w:val="clear" w:color="auto" w:fill="auto"/>
            <w:vAlign w:val="center"/>
          </w:tcPr>
          <w:p w14:paraId="70F841BD">
            <w:pPr>
              <w:widowControl/>
              <w:spacing w:line="240" w:lineRule="auto"/>
              <w:jc w:val="center"/>
              <w:rPr>
                <w:rFonts w:ascii="Times New Roman" w:hAnsi="Times New Roman" w:cs="Times New Roman"/>
                <w:sz w:val="24"/>
              </w:rPr>
            </w:pPr>
            <w:r>
              <w:rPr>
                <w:rFonts w:ascii="Times New Roman" w:hAnsi="Times New Roman" w:cs="Times New Roman"/>
                <w:sz w:val="24"/>
              </w:rPr>
              <w:t>CAGCATACAGGACACCTATTGGC</w:t>
            </w:r>
          </w:p>
        </w:tc>
        <w:tc>
          <w:tcPr>
            <w:tcW w:w="744" w:type="pct"/>
            <w:vMerge w:val="restart"/>
            <w:vAlign w:val="center"/>
          </w:tcPr>
          <w:p w14:paraId="7EFED0EA">
            <w:pPr>
              <w:widowControl/>
              <w:spacing w:line="240" w:lineRule="auto"/>
              <w:jc w:val="center"/>
              <w:rPr>
                <w:rFonts w:ascii="Times New Roman" w:hAnsi="Times New Roman" w:cs="Times New Roman"/>
                <w:sz w:val="24"/>
              </w:rPr>
            </w:pPr>
            <w:r>
              <w:rPr>
                <w:rFonts w:ascii="Times New Roman" w:hAnsi="Times New Roman" w:cs="Times New Roman"/>
                <w:sz w:val="24"/>
              </w:rPr>
              <w:t>516</w:t>
            </w:r>
          </w:p>
        </w:tc>
        <w:tc>
          <w:tcPr>
            <w:tcW w:w="717" w:type="pct"/>
            <w:vMerge w:val="restart"/>
            <w:shd w:val="clear" w:color="auto" w:fill="auto"/>
            <w:vAlign w:val="center"/>
          </w:tcPr>
          <w:p w14:paraId="10A19886">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{"citationID":"l5db8kBU","properties":{"formattedCitation":"[1]","plainCitation":"[1]","noteIndex":0},"citationItems":[{"id":1877,"uris":["http://zotero.org/users/13841690/items/7R44LUPP"],"itemData":{"id":1877,"type":"article-journal","abstract":"A multilocus sequence typing (MLST) scheme has been developed for Staphylococcus aureus. The sequences of internal fragments of seven housekeeping genes were obtained for 155 S. aureus isolates from patients with community-acquired and hospital-acquired invasive disease in the Oxford, United Kingdom, area. Fifty-three different allelic profiles were identified, and 17 of these were represented by at least two isolates. The MLST scheme was highly discriminatory and was validated by showing that pairs of isolates with the same allelic profile produced very similar SmaI restriction fragment patterns by pulsed-field gel electrophoresis. All 22 isolates with the most prevalent allelic profile were methicillin-resistant S. aureus (MRSA) isolates and had allelic profiles identical to that of a reference strain of the epidemic MRSA clone 16 (EMRSA-16). Four MRSA isolates that were identical in allelic profile to the other major epidemic MRSA clone prevalent in British hospitals (clone EMRSA-15) were also identified. The majority of isolates (81%) were methicillin-susceptible S. aureus (MSSA) isolates, and seven MSSA clones included five or more isolates. Three of the MSSA clones included at least five isolates from patients with community-acquired invasive disease and may represent virulent clones with an increased ability to cause disease in otherwise healthy individuals. The most prevalent MSSA clone (17 isolates) was very closely related to EMRSA-16, and the success of the latter clone at causing disease in hospitals may be due to its emergence from a virulent MSSA clone that was already a major cause of invasive disease in both the community and hospital settings. MLST provides an unambiguous method for assigning MRSA and MSSA isolates to known clones or assigning them as novel clones via the Internet.","container-title":"Journal of Clinical Microbiology","DOI":"10.1128/JCM.38.3.1008-1015.2000","ISSN":"0095-1137","issue":"3","journalAbbreviation":"J Clin Microbiol","language":"eng","note":"PMID: 10698988\nPMCID: PMC86325\ntitleTranslation: 多位点序列分型用于金黄色葡萄球菌耐甲氧西林和甲氧西林敏感克隆的鉴定\nJCR分区: Q1\n中科院分区升级版: 医学2区\n影响因子: 6.1\n5年影响因子: 5.8\n南农高质量: A","page":"1008-1015","source":"PubMed","title":"Multilocus sequence typing for characterization of methicillin-resistant and methicillin-susceptible clones of Staphylococcus aureus","volume":"38","author":[{"family":"Enright","given":"M. C."},{"family":"Day","given":"N. P."},{"family":"Davies","given":"C. E."},{"family":"Peacock","given":"S. J."},{"family":"Spratt","given":"B. G."}],"issued":{"date-parts":[["2000",3]]}}}],"schema":"https://github.com/citation-style-language/schema/raw/master/csl-citation.json"}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[1]</w:t>
            </w:r>
            <w:r>
              <w:rPr>
                <w:rFonts w:ascii="Times New Roman" w:hAnsi="Times New Roman" w:cs="Times New Roman"/>
                <w:sz w:val="24"/>
              </w:rPr>
              <w:fldChar w:fldCharType="end"/>
            </w:r>
          </w:p>
        </w:tc>
      </w:tr>
      <w:tr w14:paraId="6AA4D7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1625E2D4">
            <w:pPr>
              <w:widowControl/>
              <w:spacing w:line="240" w:lineRule="auto"/>
              <w:jc w:val="center"/>
              <w:rPr>
                <w:rFonts w:ascii="Times New Roman" w:hAnsi="Times New Roman" w:cs="Times New Roman"/>
                <w:sz w:val="24"/>
              </w:rPr>
            </w:pPr>
            <w:r>
              <w:rPr>
                <w:rFonts w:ascii="Times New Roman" w:hAnsi="Times New Roman" w:cs="Times New Roman"/>
                <w:sz w:val="24"/>
              </w:rPr>
              <w:t>yqiL-R</w:t>
            </w:r>
          </w:p>
        </w:tc>
        <w:tc>
          <w:tcPr>
            <w:tcW w:w="2867" w:type="pct"/>
            <w:shd w:val="clear" w:color="auto" w:fill="auto"/>
            <w:vAlign w:val="center"/>
          </w:tcPr>
          <w:p w14:paraId="467BA406">
            <w:pPr>
              <w:widowControl/>
              <w:spacing w:line="240" w:lineRule="auto"/>
              <w:jc w:val="center"/>
              <w:rPr>
                <w:rFonts w:ascii="Times New Roman" w:hAnsi="Times New Roman" w:cs="Times New Roman"/>
                <w:sz w:val="24"/>
              </w:rPr>
            </w:pPr>
            <w:r>
              <w:rPr>
                <w:rFonts w:ascii="Times New Roman" w:hAnsi="Times New Roman" w:cs="Times New Roman"/>
                <w:sz w:val="24"/>
              </w:rPr>
              <w:t>CGTTGAGGAATCGATACTGGAAC</w:t>
            </w:r>
          </w:p>
        </w:tc>
        <w:tc>
          <w:tcPr>
            <w:tcW w:w="744" w:type="pct"/>
            <w:vMerge w:val="continue"/>
            <w:vAlign w:val="center"/>
          </w:tcPr>
          <w:p w14:paraId="10505F30">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76606237">
            <w:pPr>
              <w:widowControl/>
              <w:spacing w:line="240" w:lineRule="auto"/>
              <w:jc w:val="center"/>
              <w:rPr>
                <w:rFonts w:ascii="Times New Roman" w:hAnsi="Times New Roman" w:cs="Times New Roman"/>
                <w:sz w:val="24"/>
              </w:rPr>
            </w:pPr>
          </w:p>
        </w:tc>
      </w:tr>
      <w:tr w14:paraId="0755F1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90" w:hRule="atLeast"/>
        </w:trPr>
        <w:tc>
          <w:tcPr>
            <w:tcW w:w="672" w:type="pct"/>
            <w:shd w:val="clear" w:color="auto" w:fill="auto"/>
            <w:vAlign w:val="center"/>
          </w:tcPr>
          <w:p w14:paraId="50EC760F">
            <w:pPr>
              <w:widowControl/>
              <w:spacing w:line="240" w:lineRule="auto"/>
              <w:jc w:val="center"/>
              <w:rPr>
                <w:rFonts w:ascii="Times New Roman" w:hAnsi="Times New Roman" w:cs="Times New Roman"/>
                <w:sz w:val="24"/>
              </w:rPr>
            </w:pPr>
            <w:r>
              <w:rPr>
                <w:rFonts w:ascii="Times New Roman" w:hAnsi="Times New Roman" w:cs="Times New Roman"/>
                <w:sz w:val="24"/>
              </w:rPr>
              <w:t>spa-F</w:t>
            </w:r>
          </w:p>
        </w:tc>
        <w:tc>
          <w:tcPr>
            <w:tcW w:w="2867" w:type="pct"/>
            <w:shd w:val="clear" w:color="auto" w:fill="auto"/>
            <w:vAlign w:val="center"/>
          </w:tcPr>
          <w:p w14:paraId="1A7A0381">
            <w:pPr>
              <w:widowControl/>
              <w:spacing w:line="240" w:lineRule="auto"/>
              <w:jc w:val="center"/>
              <w:rPr>
                <w:rFonts w:ascii="Times New Roman" w:hAnsi="Times New Roman" w:cs="Times New Roman"/>
                <w:sz w:val="24"/>
              </w:rPr>
            </w:pPr>
            <w:r>
              <w:rPr>
                <w:rFonts w:ascii="Times New Roman" w:hAnsi="Times New Roman" w:cs="Times New Roman"/>
                <w:sz w:val="24"/>
              </w:rPr>
              <w:t>TAAAGACGATCCTTCGGTGAGC</w:t>
            </w:r>
          </w:p>
        </w:tc>
        <w:tc>
          <w:tcPr>
            <w:tcW w:w="744" w:type="pct"/>
            <w:vMerge w:val="restart"/>
            <w:vAlign w:val="center"/>
          </w:tcPr>
          <w:p w14:paraId="55E52E79">
            <w:pPr>
              <w:widowControl/>
              <w:spacing w:line="240" w:lineRule="auto"/>
              <w:jc w:val="center"/>
              <w:rPr>
                <w:rFonts w:ascii="Times New Roman" w:hAnsi="Times New Roman" w:cs="Times New Roman"/>
                <w:sz w:val="24"/>
              </w:rPr>
            </w:pPr>
            <w:r>
              <w:rPr>
                <w:rFonts w:ascii="Times New Roman" w:hAnsi="Times New Roman" w:cs="Times New Roman"/>
                <w:sz w:val="24"/>
              </w:rPr>
              <w:t>-</w:t>
            </w:r>
          </w:p>
        </w:tc>
        <w:tc>
          <w:tcPr>
            <w:tcW w:w="717" w:type="pct"/>
            <w:vMerge w:val="restart"/>
            <w:shd w:val="clear" w:color="auto" w:fill="auto"/>
            <w:vAlign w:val="center"/>
          </w:tcPr>
          <w:p w14:paraId="5434C427">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{"citationID":"ba7bNMeK","properties":{"formattedCitation":"[2]","plainCitation":"[2]","noteIndex":0},"citationItems":[{"id":1274,"uris":["http://zotero.org/users/13841690/items/ZT7I43X2"],"itemData":{"id":1274,"type":"article-journal","abstract":"The implementation of the new clustering algorithm Based Upon Repeat Pattern (BURP) into the Ridom StaphType software tool enables clustering based on spa typing data for Staphylococcus aureus. We compared clustering results obtained by spa typing/BURP to those obtained by currently well-established methods, i.e., SmaI macrorestriction analysis and multilocus sequence typing/eBURST. A total of 99 clinical S. aureus strains, including MRSA and representing major clonal lineages associated with important kinds of infections which have been prevalent in Germany and Central Europe during the last 10 years, were used for comparison. SmaI macrorestriction analysis revealed the highest discriminatory power, and clustering results for all three methods resulted in concordance values ranging from 96.8% between the two sequence-based methods to 93.4% between spa typing/BURP and SmaI macrorestriction/cluster analysis. The results of this study indicate that spa typing, together with BURP clustering, is a useful tool in S. aureus epidemiology, especially because of ease of use and the advantages of unambiguous sequence analysis as well as reproducibility and exchange of typing data.","container-title":"Journal of Clinical Microbiology","DOI":"10.1128/JCM.00420-06","ISSN":"0095-1137","issue":"7","journalAbbreviation":"J. Clin. Microbiol.","language":"eng","note":"PMID: 16825376\nPMCID: PMC1489514\ntitleTranslation: 通过spa分型、SmaⅠ宏酶切分析和多位点序列分型对葡萄球菌分离株进行分组\nJCR分区: Q1\n中科院分区升级版: 医学2区\n影响因子: 6.1\n5年影响因子: 5.8\n南农高质量: A","page":"2533-2540","source":"PubMed","title":"Assignment of Staphylococcus isolates to groups by spa typing, SmaI macrorestriction analysis, and multilocus sequence typing","volume":"44","author":[{"family":"Strommenger","given":"B."},{"family":"Kettlitz","given":"C."},{"family":"Weniger","given":"T."},{"family":"Harmsen","given":"D."},{"family":"Friedrich","given":"A. W."},{"family":"Witte","given":"W."}],"issued":{"date-parts":[["2006",7]]}}}],"schema":"https://github.com/citation-style-language/schema/raw/master/csl-citation.json"}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[2]</w:t>
            </w:r>
            <w:r>
              <w:rPr>
                <w:rFonts w:ascii="Times New Roman" w:hAnsi="Times New Roman" w:cs="Times New Roman"/>
                <w:sz w:val="24"/>
              </w:rPr>
              <w:fldChar w:fldCharType="end"/>
            </w:r>
          </w:p>
        </w:tc>
      </w:tr>
      <w:tr w14:paraId="6F460B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070F1943">
            <w:pPr>
              <w:widowControl/>
              <w:spacing w:line="240" w:lineRule="auto"/>
              <w:jc w:val="center"/>
              <w:rPr>
                <w:rFonts w:ascii="Times New Roman" w:hAnsi="Times New Roman" w:cs="Times New Roman"/>
                <w:sz w:val="24"/>
              </w:rPr>
            </w:pPr>
            <w:r>
              <w:rPr>
                <w:rFonts w:ascii="Times New Roman" w:hAnsi="Times New Roman" w:cs="Times New Roman"/>
                <w:sz w:val="24"/>
              </w:rPr>
              <w:t>spa-R</w:t>
            </w:r>
          </w:p>
        </w:tc>
        <w:tc>
          <w:tcPr>
            <w:tcW w:w="2867" w:type="pct"/>
            <w:shd w:val="clear" w:color="auto" w:fill="auto"/>
            <w:vAlign w:val="center"/>
          </w:tcPr>
          <w:p w14:paraId="6948D643">
            <w:pPr>
              <w:widowControl/>
              <w:spacing w:line="240" w:lineRule="auto"/>
              <w:jc w:val="center"/>
              <w:rPr>
                <w:rFonts w:ascii="Times New Roman" w:hAnsi="Times New Roman" w:cs="Times New Roman"/>
                <w:sz w:val="24"/>
              </w:rPr>
            </w:pPr>
            <w:r>
              <w:rPr>
                <w:rFonts w:ascii="Times New Roman" w:hAnsi="Times New Roman" w:cs="Times New Roman"/>
                <w:sz w:val="24"/>
              </w:rPr>
              <w:t>CAGCAGTAGTGCCGTTTGCTT</w:t>
            </w:r>
          </w:p>
        </w:tc>
        <w:tc>
          <w:tcPr>
            <w:tcW w:w="744" w:type="pct"/>
            <w:vMerge w:val="continue"/>
            <w:vAlign w:val="center"/>
          </w:tcPr>
          <w:p w14:paraId="2A50A7A6">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733C66F0">
            <w:pPr>
              <w:widowControl/>
              <w:spacing w:line="240" w:lineRule="auto"/>
              <w:jc w:val="center"/>
              <w:rPr>
                <w:rFonts w:ascii="Times New Roman" w:hAnsi="Times New Roman" w:cs="Times New Roman"/>
                <w:sz w:val="24"/>
              </w:rPr>
            </w:pPr>
          </w:p>
        </w:tc>
      </w:tr>
      <w:tr w14:paraId="0FE665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6D213573">
            <w:pPr>
              <w:widowControl/>
              <w:spacing w:line="240" w:lineRule="auto"/>
              <w:jc w:val="center"/>
              <w:rPr>
                <w:rFonts w:ascii="Times New Roman" w:hAnsi="Times New Roman" w:cs="Times New Roman"/>
                <w:sz w:val="24"/>
              </w:rPr>
            </w:pPr>
            <w:r>
              <w:rPr>
                <w:rFonts w:ascii="Times New Roman" w:hAnsi="Times New Roman" w:cs="Times New Roman"/>
                <w:sz w:val="24"/>
              </w:rPr>
              <w:t>icaA-F</w:t>
            </w:r>
          </w:p>
        </w:tc>
        <w:tc>
          <w:tcPr>
            <w:tcW w:w="2867" w:type="pct"/>
            <w:shd w:val="clear" w:color="auto" w:fill="auto"/>
            <w:vAlign w:val="center"/>
          </w:tcPr>
          <w:p w14:paraId="2E0C6202">
            <w:pPr>
              <w:widowControl/>
              <w:spacing w:line="240" w:lineRule="auto"/>
              <w:jc w:val="center"/>
              <w:rPr>
                <w:rFonts w:ascii="Times New Roman" w:hAnsi="Times New Roman" w:cs="Times New Roman"/>
                <w:sz w:val="24"/>
              </w:rPr>
            </w:pPr>
            <w:r>
              <w:rPr>
                <w:rFonts w:ascii="Times New Roman" w:hAnsi="Times New Roman" w:cs="Times New Roman"/>
                <w:sz w:val="24"/>
              </w:rPr>
              <w:t>ACACTTGCTGGCGCAGTCAA</w:t>
            </w:r>
          </w:p>
        </w:tc>
        <w:tc>
          <w:tcPr>
            <w:tcW w:w="744" w:type="pct"/>
            <w:vMerge w:val="restart"/>
            <w:vAlign w:val="center"/>
          </w:tcPr>
          <w:p w14:paraId="2C18A97D">
            <w:pPr>
              <w:widowControl/>
              <w:spacing w:line="240" w:lineRule="auto"/>
              <w:jc w:val="center"/>
              <w:rPr>
                <w:rFonts w:ascii="Times New Roman" w:hAnsi="Times New Roman" w:cs="Times New Roman"/>
                <w:sz w:val="24"/>
              </w:rPr>
            </w:pPr>
            <w:r>
              <w:rPr>
                <w:rFonts w:ascii="Times New Roman" w:hAnsi="Times New Roman" w:cs="Times New Roman"/>
                <w:sz w:val="24"/>
              </w:rPr>
              <w:t>188</w:t>
            </w:r>
          </w:p>
        </w:tc>
        <w:tc>
          <w:tcPr>
            <w:tcW w:w="717" w:type="pct"/>
            <w:vMerge w:val="restart"/>
            <w:shd w:val="clear" w:color="auto" w:fill="auto"/>
            <w:vAlign w:val="center"/>
          </w:tcPr>
          <w:p w14:paraId="492AF42E">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{"citationID":"dUzEDz6E","properties":{"formattedCitation":"[3]","plainCitation":"[3]","noteIndex":0},"citationItems":[{"id":1887,"uris":["http://zotero.org/users/13841690/items/IJ5X9P2C"],"itemData":{"id":1887,"type":"article-journal","abstract":"OBJECTIVES: Biofilm -forming capacity of Staphylococcus aureus (S. aureus) as a commensal opportunistic bacterial species induce a growth in antibiotic resistance in chronic diseases. Since expression of biofilm- related genes and antibiotic resistance function are interdependent, the present study was an attempt to inquire biofilm formation and its relationship with antibiotic resistance in clinical isolates.\nMETHODS: 208 S. aureus clinical isolates from four major provinces of Iran were investigated in terms of presence of adhesion genes (icaA, icaD, icaB, icaC, fnbpA, fnbpB, clfA, clfB, cna, sasC, sasG and bap) using PCR. In addition, microtiter plate (Mtp) assay was performed to examine quantitative biofilm formation of the isolates and their antibiotic resistance patterns against 16 antibiotics determined upon CLSI criteria.\nRESULTS: The results revealed high prevalence rate (almost 100%) of icaADBC and MSCRAMMs genes in the isolates. Moreover, bap gene was not detected in any of the tested clinical isolates. Based on phenotypic method 169 isolates (81.25%) were also found to have biofilm formation ability. Among 208 isolates, 98 (47.12%) isolates were multidrug resistant (MDR). Vancomycin, linezolid, nitrofurantoin and quinupristin/dalfopristin were the most effective drugs against MDR strains. Furthermore, the findings demonstrated a significant relationship between MDR and biofilm forming capacity.\nCONCLUSION: Prevalence rate of adhesion- related genes was high in S. aureus from isolates in Iran ;so these genes might be expressed under certain conditions and cause emergence of MDR strains. Therefore, further investigations are necessary to prevent initial attachment based on new candidate adhesion genes for vaccine design.","container-title":"Journal of Global Antimicrobial Resistance","DOI":"10.1016/j.jgar.2020.02.025","ISSN":"2213-7173","journalAbbreviation":"J Glob Antimicrob Resist","language":"eng","note":"PMID: 32169685\ntitleTranslation: 来自不同患者和健康个体的金黄色葡萄球菌分离株的粘附相关基因和多药耐药模式之间存在协同关联\nJCR分区: Q2\n中科院分区升级版: 医学3区\n影响因子: 3.7\n5年影响因子: 3.8\n南农高质量: B","page":"379-385","source":"PubMed","title":"A synergistic association between adhesion-related genes and multidrug resistance patterns of Staphylococcus aureus isolates from different patients and healthy individuals","volume":"22","author":[{"family":"Parastan","given":"Raziey"},{"family":"Kargar","given":"Mohammad"},{"family":"Solhjoo","given":"Kavous"},{"family":"Kafilzadeh","given":"Farshid"}],"issued":{"date-parts":[["2020",9]]}}}],"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[3]</w:t>
            </w:r>
            <w:r>
              <w:rPr>
                <w:rFonts w:ascii="Times New Roman" w:hAnsi="Times New Roman" w:cs="Times New Roman"/>
                <w:sz w:val="24"/>
              </w:rPr>
              <w:fldChar w:fldCharType="end"/>
            </w:r>
          </w:p>
        </w:tc>
      </w:tr>
      <w:tr w14:paraId="4E08AC0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14CCC7FC">
            <w:pPr>
              <w:widowControl/>
              <w:spacing w:line="240" w:lineRule="auto"/>
              <w:jc w:val="center"/>
              <w:rPr>
                <w:rFonts w:ascii="Times New Roman" w:hAnsi="Times New Roman" w:cs="Times New Roman"/>
                <w:sz w:val="24"/>
              </w:rPr>
            </w:pPr>
            <w:r>
              <w:rPr>
                <w:rFonts w:ascii="Times New Roman" w:hAnsi="Times New Roman" w:cs="Times New Roman"/>
                <w:sz w:val="24"/>
              </w:rPr>
              <w:t>icaA-R</w:t>
            </w:r>
          </w:p>
        </w:tc>
        <w:tc>
          <w:tcPr>
            <w:tcW w:w="2867" w:type="pct"/>
            <w:shd w:val="clear" w:color="auto" w:fill="auto"/>
            <w:vAlign w:val="center"/>
          </w:tcPr>
          <w:p w14:paraId="0F20BE6E">
            <w:pPr>
              <w:widowControl/>
              <w:spacing w:line="240" w:lineRule="auto"/>
              <w:jc w:val="center"/>
              <w:rPr>
                <w:rFonts w:ascii="Times New Roman" w:hAnsi="Times New Roman" w:cs="Times New Roman"/>
                <w:sz w:val="24"/>
              </w:rPr>
            </w:pPr>
            <w:r>
              <w:rPr>
                <w:rFonts w:ascii="Times New Roman" w:hAnsi="Times New Roman" w:cs="Times New Roman"/>
                <w:sz w:val="24"/>
              </w:rPr>
              <w:t>TCTGGAACCAACATCCAACA</w:t>
            </w:r>
          </w:p>
        </w:tc>
        <w:tc>
          <w:tcPr>
            <w:tcW w:w="744" w:type="pct"/>
            <w:vMerge w:val="continue"/>
            <w:vAlign w:val="center"/>
          </w:tcPr>
          <w:p w14:paraId="7636380E">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191176D6">
            <w:pPr>
              <w:widowControl/>
              <w:spacing w:line="240" w:lineRule="auto"/>
              <w:jc w:val="center"/>
              <w:rPr>
                <w:rFonts w:ascii="Times New Roman" w:hAnsi="Times New Roman" w:cs="Times New Roman"/>
                <w:sz w:val="24"/>
              </w:rPr>
            </w:pPr>
          </w:p>
        </w:tc>
      </w:tr>
      <w:tr w14:paraId="7A6B06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3DBD9DC1">
            <w:pPr>
              <w:widowControl/>
              <w:spacing w:line="240" w:lineRule="auto"/>
              <w:jc w:val="center"/>
              <w:rPr>
                <w:rFonts w:ascii="Times New Roman" w:hAnsi="Times New Roman" w:cs="Times New Roman"/>
                <w:sz w:val="24"/>
              </w:rPr>
            </w:pPr>
            <w:r>
              <w:rPr>
                <w:rFonts w:ascii="Times New Roman" w:hAnsi="Times New Roman" w:cs="Times New Roman"/>
                <w:sz w:val="24"/>
              </w:rPr>
              <w:t>icaB-F</w:t>
            </w:r>
          </w:p>
        </w:tc>
        <w:tc>
          <w:tcPr>
            <w:tcW w:w="2867" w:type="pct"/>
            <w:shd w:val="clear" w:color="auto" w:fill="auto"/>
            <w:vAlign w:val="center"/>
          </w:tcPr>
          <w:p w14:paraId="2E59DAF1">
            <w:pPr>
              <w:widowControl/>
              <w:spacing w:line="240" w:lineRule="auto"/>
              <w:jc w:val="center"/>
              <w:rPr>
                <w:rFonts w:ascii="Times New Roman" w:hAnsi="Times New Roman" w:cs="Times New Roman"/>
                <w:sz w:val="24"/>
              </w:rPr>
            </w:pPr>
            <w:r>
              <w:rPr>
                <w:rFonts w:ascii="Times New Roman" w:hAnsi="Times New Roman" w:cs="Times New Roman"/>
                <w:color w:val="000000"/>
                <w:kern w:val="0"/>
                <w:sz w:val="24"/>
                <w:lang w:bidi="ar"/>
              </w:rPr>
              <w:t>AGAATCGTGAAGTATAGAAAATT</w:t>
            </w:r>
          </w:p>
        </w:tc>
        <w:tc>
          <w:tcPr>
            <w:tcW w:w="744" w:type="pct"/>
            <w:vMerge w:val="restart"/>
            <w:vAlign w:val="center"/>
          </w:tcPr>
          <w:p w14:paraId="4831239F">
            <w:pPr>
              <w:widowControl/>
              <w:spacing w:line="240" w:lineRule="auto"/>
              <w:jc w:val="center"/>
              <w:rPr>
                <w:rFonts w:ascii="Times New Roman" w:hAnsi="Times New Roman" w:cs="Times New Roman"/>
                <w:sz w:val="24"/>
              </w:rPr>
            </w:pPr>
            <w:r>
              <w:rPr>
                <w:rFonts w:ascii="Times New Roman" w:hAnsi="Times New Roman" w:cs="Times New Roman"/>
                <w:sz w:val="24"/>
              </w:rPr>
              <w:t>900</w:t>
            </w:r>
          </w:p>
        </w:tc>
        <w:tc>
          <w:tcPr>
            <w:tcW w:w="717" w:type="pct"/>
            <w:vMerge w:val="restart"/>
            <w:shd w:val="clear" w:color="auto" w:fill="auto"/>
            <w:vAlign w:val="center"/>
          </w:tcPr>
          <w:p w14:paraId="20305CF6">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{"citationID":"j2oxcJ9b","properties":{"formattedCitation":"[3]","plainCitation":"[3]","noteIndex":0},"citationItems":[{"id":1887,"uris":["http://zotero.org/users/13841690/items/IJ5X9P2C"],"itemData":{"id":1887,"type":"article-journal","abstract":"OBJECTIVES: Biofilm -forming capacity of Staphylococcus aureus (S. aureus) as a commensal opportunistic bacterial species induce a growth in antibiotic resistance in chronic diseases. Since expression of biofilm- related genes and antibiotic resistance function are interdependent, the present study was an attempt to inquire biofilm formation and its relationship with antibiotic resistance in clinical isolates.\nMETHODS: 208 S. aureus clinical isolates from four major provinces of Iran were investigated in terms of presence of adhesion genes (icaA, icaD, icaB, icaC, fnbpA, fnbpB, clfA, clfB, cna, sasC, sasG and bap) using PCR. In addition, microtiter plate (Mtp) assay was performed to examine quantitative biofilm formation of the isolates and their antibiotic resistance patterns against 16 antibiotics determined upon CLSI criteria.\nRESULTS: The results revealed high prevalence rate (almost 100%) of icaADBC and MSCRAMMs genes in the isolates. Moreover, bap gene was not detected in any of the tested clinical isolates. Based on phenotypic method 169 isolates (81.25%) were also found to have biofilm formation ability. Among 208 isolates, 98 (47.12%) isolates were multidrug resistant (MDR). Vancomycin, linezolid, nitrofurantoin and quinupristin/dalfopristin were the most effective drugs against MDR strains. Furthermore, the findings demonstrated a significant relationship between MDR and biofilm forming capacity.\nCONCLUSION: Prevalence rate of adhesion- related genes was high in S. aureus from isolates in Iran ;so these genes might be expressed under certain conditions and cause emergence of MDR strains. Therefore, further investigations are necessary to prevent initial attachment based on new candidate adhesion genes for vaccine design.","container-title":"Journal of Global Antimicrobial Resistance","DOI":"10.1016/j.jgar.2020.02.025","ISSN":"2213-7173","journalAbbreviation":"J Glob Antimicrob Resist","language":"eng","note":"PMID: 32169685\ntitleTranslation: 来自不同患者和健康个体的金黄色葡萄球菌分离株的粘附相关基因和多药耐药模式之间存在协同关联\nJCR分区: Q2\n中科院分区升级版: 医学3区\n影响因子: 3.7\n5年影响因子: 3.8\n南农高质量: B","page":"379-385","source":"PubMed","title":"A synergistic association between adhesion-related genes and multidrug resistance patterns of Staphylococcus aureus isolates from different patients and healthy individuals","volume":"22","author":[{"family":"Parastan","given":"Raziey"},{"family":"Kargar","given":"Mohammad"},{"family":"Solhjoo","given":"Kavous"},{"family":"Kafilzadeh","given":"Farshid"}],"issued":{"date-parts":[["2020",9]]}}}],"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[3]</w:t>
            </w:r>
            <w:r>
              <w:rPr>
                <w:rFonts w:ascii="Times New Roman" w:hAnsi="Times New Roman" w:cs="Times New Roman"/>
                <w:sz w:val="24"/>
              </w:rPr>
              <w:fldChar w:fldCharType="end"/>
            </w:r>
          </w:p>
        </w:tc>
      </w:tr>
      <w:tr w14:paraId="059A25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76F10AF0">
            <w:pPr>
              <w:widowControl/>
              <w:spacing w:line="240" w:lineRule="auto"/>
              <w:jc w:val="center"/>
              <w:rPr>
                <w:rFonts w:ascii="Times New Roman" w:hAnsi="Times New Roman" w:cs="Times New Roman"/>
                <w:sz w:val="24"/>
              </w:rPr>
            </w:pPr>
            <w:r>
              <w:rPr>
                <w:rFonts w:ascii="Times New Roman" w:hAnsi="Times New Roman" w:cs="Times New Roman"/>
                <w:sz w:val="24"/>
              </w:rPr>
              <w:t>icaB-R</w:t>
            </w:r>
          </w:p>
        </w:tc>
        <w:tc>
          <w:tcPr>
            <w:tcW w:w="2867" w:type="pct"/>
            <w:shd w:val="clear" w:color="auto" w:fill="auto"/>
            <w:vAlign w:val="center"/>
          </w:tcPr>
          <w:p w14:paraId="183D8E01">
            <w:pPr>
              <w:widowControl/>
              <w:spacing w:line="240" w:lineRule="auto"/>
              <w:jc w:val="center"/>
              <w:rPr>
                <w:rFonts w:ascii="Times New Roman" w:hAnsi="Times New Roman" w:cs="Times New Roman"/>
                <w:sz w:val="24"/>
              </w:rPr>
            </w:pPr>
            <w:r>
              <w:rPr>
                <w:rFonts w:ascii="Times New Roman" w:hAnsi="Times New Roman" w:cs="Times New Roman"/>
                <w:color w:val="000000"/>
                <w:kern w:val="0"/>
                <w:sz w:val="24"/>
                <w:lang w:bidi="ar"/>
              </w:rPr>
              <w:t>TCTAATCTTTTTCATGGAATCCGT</w:t>
            </w:r>
          </w:p>
        </w:tc>
        <w:tc>
          <w:tcPr>
            <w:tcW w:w="744" w:type="pct"/>
            <w:vMerge w:val="continue"/>
            <w:vAlign w:val="center"/>
          </w:tcPr>
          <w:p w14:paraId="0C7D76BC">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4440D0E1">
            <w:pPr>
              <w:widowControl/>
              <w:spacing w:line="240" w:lineRule="auto"/>
              <w:jc w:val="center"/>
              <w:rPr>
                <w:rFonts w:ascii="Times New Roman" w:hAnsi="Times New Roman" w:cs="Times New Roman"/>
                <w:sz w:val="24"/>
              </w:rPr>
            </w:pPr>
          </w:p>
        </w:tc>
      </w:tr>
      <w:tr w14:paraId="69DFD7F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05A23575">
            <w:pPr>
              <w:widowControl/>
              <w:spacing w:line="240" w:lineRule="auto"/>
              <w:jc w:val="center"/>
              <w:rPr>
                <w:rFonts w:ascii="Times New Roman" w:hAnsi="Times New Roman" w:cs="Times New Roman"/>
                <w:sz w:val="24"/>
              </w:rPr>
            </w:pPr>
            <w:r>
              <w:rPr>
                <w:rFonts w:ascii="Times New Roman" w:hAnsi="Times New Roman" w:cs="Times New Roman"/>
                <w:sz w:val="24"/>
              </w:rPr>
              <w:t>icaD-F</w:t>
            </w:r>
          </w:p>
        </w:tc>
        <w:tc>
          <w:tcPr>
            <w:tcW w:w="2867" w:type="pct"/>
            <w:shd w:val="clear" w:color="auto" w:fill="auto"/>
            <w:vAlign w:val="center"/>
          </w:tcPr>
          <w:p w14:paraId="3AE9842C">
            <w:pPr>
              <w:widowControl/>
              <w:spacing w:line="240" w:lineRule="auto"/>
              <w:jc w:val="center"/>
              <w:rPr>
                <w:rFonts w:ascii="Times New Roman" w:hAnsi="Times New Roman" w:cs="Times New Roman"/>
                <w:sz w:val="24"/>
              </w:rPr>
            </w:pPr>
            <w:r>
              <w:rPr>
                <w:rFonts w:ascii="Times New Roman" w:hAnsi="Times New Roman" w:cs="Times New Roman"/>
                <w:sz w:val="24"/>
              </w:rPr>
              <w:t>ATGGTCAAGCCCAGACAGAG</w:t>
            </w:r>
          </w:p>
        </w:tc>
        <w:tc>
          <w:tcPr>
            <w:tcW w:w="744" w:type="pct"/>
            <w:vMerge w:val="restart"/>
            <w:vAlign w:val="center"/>
          </w:tcPr>
          <w:p w14:paraId="2B806E71">
            <w:pPr>
              <w:widowControl/>
              <w:spacing w:line="240" w:lineRule="auto"/>
              <w:jc w:val="center"/>
              <w:rPr>
                <w:rFonts w:ascii="Times New Roman" w:hAnsi="Times New Roman" w:cs="Times New Roman"/>
                <w:sz w:val="24"/>
              </w:rPr>
            </w:pPr>
            <w:r>
              <w:rPr>
                <w:rFonts w:ascii="Times New Roman" w:hAnsi="Times New Roman" w:cs="Times New Roman"/>
                <w:sz w:val="24"/>
              </w:rPr>
              <w:t>198</w:t>
            </w:r>
          </w:p>
        </w:tc>
        <w:tc>
          <w:tcPr>
            <w:tcW w:w="717" w:type="pct"/>
            <w:vMerge w:val="restart"/>
            <w:shd w:val="clear" w:color="auto" w:fill="auto"/>
            <w:vAlign w:val="center"/>
          </w:tcPr>
          <w:p w14:paraId="7919B273">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{"citationID":"dE3MrGUq","properties":{"formattedCitation":"[3]","plainCitation":"[3]","noteIndex":0},"citationItems":[{"id":1887,"uris":["http://zotero.org/users/13841690/items/IJ5X9P2C"],"itemData":{"id":1887,"type":"article-journal","abstract":"OBJECTIVES: Biofilm -forming capacity of Staphylococcus aureus (S. aureus) as a commensal opportunistic bacterial species induce a growth in antibiotic resistance in chronic diseases. Since expression of biofilm- related genes and antibiotic resistance function are interdependent, the present study was an attempt to inquire biofilm formation and its relationship with antibiotic resistance in clinical isolates.\nMETHODS: 208 S. aureus clinical isolates from four major provinces of Iran were investigated in terms of presence of adhesion genes (icaA, icaD, icaB, icaC, fnbpA, fnbpB, clfA, clfB, cna, sasC, sasG and bap) using PCR. In addition, microtiter plate (Mtp) assay was performed to examine quantitative biofilm formation of the isolates and their antibiotic resistance patterns against 16 antibiotics determined upon CLSI criteria.\nRESULTS: The results revealed high prevalence rate (almost 100%) of icaADBC and MSCRAMMs genes in the isolates. Moreover, bap gene was not detected in any of the tested clinical isolates. Based on phenotypic method 169 isolates (81.25%) were also found to have biofilm formation ability. Among 208 isolates, 98 (47.12%) isolates were multidrug resistant (MDR). Vancomycin, linezolid, nitrofurantoin and quinupristin/dalfopristin were the most effective drugs against MDR strains. Furthermore, the findings demonstrated a significant relationship between MDR and biofilm forming capacity.\nCONCLUSION: Prevalence rate of adhesion- related genes was high in S. aureus from isolates in Iran ;so these genes might be expressed under certain conditions and cause emergence of MDR strains. Therefore, further investigations are necessary to prevent initial attachment based on new candidate adhesion genes for vaccine design.","container-title":"Journal of Global Antimicrobial Resistance","DOI":"10.1016/j.jgar.2020.02.025","ISSN":"2213-7173","journalAbbreviation":"J Glob Antimicrob Resist","language":"eng","note":"PMID: 32169685\ntitleTranslation: 来自不同患者和健康个体的金黄色葡萄球菌分离株的粘附相关基因和多药耐药模式之间存在协同关联\nJCR分区: Q2\n中科院分区升级版: 医学3区\n影响因子: 3.7\n5年影响因子: 3.8\n南农高质量: B","page":"379-385","source":"PubMed","title":"A synergistic association between adhesion-related genes and multidrug resistance patterns of Staphylococcus aureus isolates from different patients and healthy individuals","volume":"22","author":[{"family":"Parastan","given":"Raziey"},{"family":"Kargar","given":"Mohammad"},{"family":"Solhjoo","given":"Kavous"},{"family":"Kafilzadeh","given":"Farshid"}],"issued":{"date-parts":[["2020",9]]}}}],"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[3]</w:t>
            </w:r>
            <w:r>
              <w:rPr>
                <w:rFonts w:ascii="Times New Roman" w:hAnsi="Times New Roman" w:cs="Times New Roman"/>
                <w:sz w:val="24"/>
              </w:rPr>
              <w:fldChar w:fldCharType="end"/>
            </w:r>
          </w:p>
        </w:tc>
      </w:tr>
      <w:tr w14:paraId="776F52D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4B6D180A">
            <w:pPr>
              <w:widowControl/>
              <w:spacing w:line="240" w:lineRule="auto"/>
              <w:jc w:val="center"/>
              <w:rPr>
                <w:rFonts w:ascii="Times New Roman" w:hAnsi="Times New Roman" w:cs="Times New Roman"/>
                <w:sz w:val="24"/>
              </w:rPr>
            </w:pPr>
            <w:r>
              <w:rPr>
                <w:rFonts w:ascii="Times New Roman" w:hAnsi="Times New Roman" w:cs="Times New Roman"/>
                <w:sz w:val="24"/>
              </w:rPr>
              <w:t>icaD-R</w:t>
            </w:r>
          </w:p>
        </w:tc>
        <w:tc>
          <w:tcPr>
            <w:tcW w:w="2867" w:type="pct"/>
            <w:shd w:val="clear" w:color="auto" w:fill="auto"/>
            <w:vAlign w:val="center"/>
          </w:tcPr>
          <w:p w14:paraId="33401465">
            <w:pPr>
              <w:widowControl/>
              <w:spacing w:line="240" w:lineRule="auto"/>
              <w:jc w:val="center"/>
              <w:rPr>
                <w:rFonts w:ascii="Times New Roman" w:hAnsi="Times New Roman" w:cs="Times New Roman"/>
                <w:sz w:val="24"/>
              </w:rPr>
            </w:pPr>
            <w:r>
              <w:rPr>
                <w:rFonts w:ascii="Times New Roman" w:hAnsi="Times New Roman" w:cs="Times New Roman"/>
                <w:sz w:val="24"/>
              </w:rPr>
              <w:t>AGTATTTTCAATGTTTAAAGCA</w:t>
            </w:r>
          </w:p>
        </w:tc>
        <w:tc>
          <w:tcPr>
            <w:tcW w:w="744" w:type="pct"/>
            <w:vMerge w:val="continue"/>
            <w:vAlign w:val="center"/>
          </w:tcPr>
          <w:p w14:paraId="3C5B3B96">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1309BB9E">
            <w:pPr>
              <w:widowControl/>
              <w:spacing w:line="240" w:lineRule="auto"/>
              <w:jc w:val="center"/>
              <w:rPr>
                <w:rFonts w:ascii="Times New Roman" w:hAnsi="Times New Roman" w:cs="Times New Roman"/>
                <w:sz w:val="24"/>
              </w:rPr>
            </w:pPr>
          </w:p>
        </w:tc>
      </w:tr>
      <w:tr w14:paraId="2EEA3B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04CB10E1">
            <w:pPr>
              <w:widowControl/>
              <w:spacing w:line="240" w:lineRule="auto"/>
              <w:jc w:val="center"/>
              <w:rPr>
                <w:rFonts w:ascii="Times New Roman" w:hAnsi="Times New Roman" w:cs="Times New Roman"/>
                <w:sz w:val="24"/>
              </w:rPr>
            </w:pPr>
            <w:r>
              <w:rPr>
                <w:rFonts w:ascii="Times New Roman" w:hAnsi="Times New Roman" w:cs="Times New Roman"/>
                <w:sz w:val="24"/>
              </w:rPr>
              <w:t>sea-F</w:t>
            </w:r>
          </w:p>
        </w:tc>
        <w:tc>
          <w:tcPr>
            <w:tcW w:w="2867" w:type="pct"/>
            <w:shd w:val="clear" w:color="auto" w:fill="auto"/>
            <w:vAlign w:val="center"/>
          </w:tcPr>
          <w:p w14:paraId="7D532F86">
            <w:pPr>
              <w:widowControl/>
              <w:spacing w:line="240" w:lineRule="auto"/>
              <w:jc w:val="center"/>
              <w:rPr>
                <w:rFonts w:ascii="Times New Roman" w:hAnsi="Times New Roman" w:cs="Times New Roman"/>
                <w:sz w:val="24"/>
              </w:rPr>
            </w:pPr>
            <w:r>
              <w:rPr>
                <w:rFonts w:ascii="Times New Roman" w:hAnsi="Times New Roman" w:cs="Times New Roman"/>
                <w:sz w:val="24"/>
              </w:rPr>
              <w:t xml:space="preserve">GCAGGGAACAGTTTAGGC </w:t>
            </w:r>
          </w:p>
        </w:tc>
        <w:tc>
          <w:tcPr>
            <w:tcW w:w="744" w:type="pct"/>
            <w:vMerge w:val="restart"/>
            <w:vAlign w:val="center"/>
          </w:tcPr>
          <w:p w14:paraId="7B5312D3">
            <w:pPr>
              <w:widowControl/>
              <w:spacing w:line="240" w:lineRule="auto"/>
              <w:jc w:val="center"/>
              <w:rPr>
                <w:rFonts w:ascii="Times New Roman" w:hAnsi="Times New Roman" w:cs="Times New Roman"/>
                <w:sz w:val="24"/>
              </w:rPr>
            </w:pPr>
            <w:r>
              <w:rPr>
                <w:rFonts w:ascii="Times New Roman" w:hAnsi="Times New Roman" w:cs="Times New Roman"/>
                <w:sz w:val="24"/>
              </w:rPr>
              <w:t>520</w:t>
            </w:r>
          </w:p>
        </w:tc>
        <w:tc>
          <w:tcPr>
            <w:tcW w:w="717" w:type="pct"/>
            <w:vMerge w:val="restart"/>
            <w:shd w:val="clear" w:color="auto" w:fill="auto"/>
            <w:vAlign w:val="center"/>
          </w:tcPr>
          <w:p w14:paraId="3D061F44">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{"citationID":"xJ4Dy2Mb","properties":{"formattedCitation":"[4]","plainCitation":"[4]","noteIndex":0},"citationItems":[{"id":1300,"uris":["http://zotero.org/users/13841690/items/FFRKE9AR"],"itemData":{"id":1300,"type":"article-journal","abstract":"AIMS: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0CB28EA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6B073DB0">
            <w:pPr>
              <w:widowControl/>
              <w:spacing w:line="240" w:lineRule="auto"/>
              <w:jc w:val="center"/>
              <w:rPr>
                <w:rFonts w:ascii="Times New Roman" w:hAnsi="Times New Roman" w:cs="Times New Roman"/>
                <w:sz w:val="24"/>
              </w:rPr>
            </w:pPr>
            <w:r>
              <w:rPr>
                <w:rFonts w:ascii="Times New Roman" w:hAnsi="Times New Roman" w:cs="Times New Roman"/>
                <w:sz w:val="24"/>
              </w:rPr>
              <w:t>sea-R</w:t>
            </w:r>
          </w:p>
        </w:tc>
        <w:tc>
          <w:tcPr>
            <w:tcW w:w="2867" w:type="pct"/>
            <w:shd w:val="clear" w:color="auto" w:fill="auto"/>
            <w:vAlign w:val="center"/>
          </w:tcPr>
          <w:p w14:paraId="0FD66FD1">
            <w:pPr>
              <w:widowControl/>
              <w:spacing w:line="240" w:lineRule="auto"/>
              <w:jc w:val="center"/>
              <w:rPr>
                <w:rFonts w:ascii="Times New Roman" w:hAnsi="Times New Roman" w:cs="Times New Roman"/>
                <w:sz w:val="24"/>
              </w:rPr>
            </w:pPr>
            <w:r>
              <w:rPr>
                <w:rFonts w:ascii="Times New Roman" w:hAnsi="Times New Roman" w:cs="Times New Roman"/>
                <w:sz w:val="24"/>
              </w:rPr>
              <w:t>GTTCTGTAGAAGTATGAAACACG</w:t>
            </w:r>
          </w:p>
        </w:tc>
        <w:tc>
          <w:tcPr>
            <w:tcW w:w="744" w:type="pct"/>
            <w:vMerge w:val="continue"/>
            <w:vAlign w:val="center"/>
          </w:tcPr>
          <w:p w14:paraId="308C678A">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156CDEF8">
            <w:pPr>
              <w:widowControl/>
              <w:spacing w:line="240" w:lineRule="auto"/>
              <w:jc w:val="center"/>
              <w:rPr>
                <w:rFonts w:ascii="Times New Roman" w:hAnsi="Times New Roman" w:cs="Times New Roman"/>
                <w:sz w:val="24"/>
              </w:rPr>
            </w:pPr>
          </w:p>
        </w:tc>
      </w:tr>
      <w:tr w14:paraId="1199A9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3917B692">
            <w:pPr>
              <w:widowControl/>
              <w:spacing w:line="240" w:lineRule="auto"/>
              <w:jc w:val="center"/>
              <w:rPr>
                <w:rFonts w:ascii="Times New Roman" w:hAnsi="Times New Roman" w:cs="Times New Roman"/>
                <w:sz w:val="24"/>
              </w:rPr>
            </w:pPr>
            <w:r>
              <w:rPr>
                <w:rFonts w:ascii="Times New Roman" w:hAnsi="Times New Roman" w:cs="Times New Roman"/>
                <w:sz w:val="24"/>
              </w:rPr>
              <w:t>seb-F</w:t>
            </w:r>
          </w:p>
        </w:tc>
        <w:tc>
          <w:tcPr>
            <w:tcW w:w="2867" w:type="pct"/>
            <w:shd w:val="clear" w:color="auto" w:fill="auto"/>
            <w:vAlign w:val="center"/>
          </w:tcPr>
          <w:p w14:paraId="5DC3DC53">
            <w:pPr>
              <w:widowControl/>
              <w:spacing w:line="240" w:lineRule="auto"/>
              <w:jc w:val="center"/>
              <w:rPr>
                <w:rFonts w:ascii="Times New Roman" w:hAnsi="Times New Roman" w:cs="Times New Roman"/>
                <w:sz w:val="24"/>
              </w:rPr>
            </w:pPr>
            <w:r>
              <w:rPr>
                <w:rFonts w:ascii="Times New Roman" w:hAnsi="Times New Roman" w:cs="Times New Roman"/>
                <w:sz w:val="24"/>
              </w:rPr>
              <w:t xml:space="preserve">ACATGTAATTTTGATATTCGCACTG </w:t>
            </w:r>
          </w:p>
        </w:tc>
        <w:tc>
          <w:tcPr>
            <w:tcW w:w="744" w:type="pct"/>
            <w:vMerge w:val="restart"/>
            <w:vAlign w:val="center"/>
          </w:tcPr>
          <w:p w14:paraId="3DE83B76">
            <w:pPr>
              <w:widowControl/>
              <w:spacing w:line="240" w:lineRule="auto"/>
              <w:jc w:val="center"/>
              <w:rPr>
                <w:rFonts w:ascii="Times New Roman" w:hAnsi="Times New Roman" w:cs="Times New Roman"/>
                <w:sz w:val="24"/>
              </w:rPr>
            </w:pPr>
            <w:r>
              <w:rPr>
                <w:rFonts w:ascii="Times New Roman" w:hAnsi="Times New Roman" w:cs="Times New Roman"/>
                <w:sz w:val="24"/>
              </w:rPr>
              <w:t>667</w:t>
            </w:r>
          </w:p>
        </w:tc>
        <w:tc>
          <w:tcPr>
            <w:tcW w:w="717" w:type="pct"/>
            <w:vMerge w:val="restart"/>
            <w:shd w:val="clear" w:color="auto" w:fill="auto"/>
            <w:vAlign w:val="center"/>
          </w:tcPr>
          <w:p w14:paraId="113DF982">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{"citationID":"kwzhcXvf","properties":{"formattedCitation":"[4]","plainCitation":"[4]","noteIndex":0},"citationItems":[{"id":1300,"uris":["http://zotero.org/users/13841690/items/FFRKE9AR"],"itemData":{"id":1300,"type":"article-journal","abstract":"AIMS: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2B1E4C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4F01985D">
            <w:pPr>
              <w:widowControl/>
              <w:spacing w:line="240" w:lineRule="auto"/>
              <w:jc w:val="center"/>
              <w:rPr>
                <w:rFonts w:ascii="Times New Roman" w:hAnsi="Times New Roman" w:cs="Times New Roman"/>
                <w:sz w:val="24"/>
              </w:rPr>
            </w:pPr>
            <w:r>
              <w:rPr>
                <w:rFonts w:ascii="Times New Roman" w:hAnsi="Times New Roman" w:cs="Times New Roman"/>
                <w:sz w:val="24"/>
              </w:rPr>
              <w:t>seb-R</w:t>
            </w:r>
          </w:p>
        </w:tc>
        <w:tc>
          <w:tcPr>
            <w:tcW w:w="2867" w:type="pct"/>
            <w:shd w:val="clear" w:color="auto" w:fill="auto"/>
            <w:vAlign w:val="center"/>
          </w:tcPr>
          <w:p w14:paraId="0B3EFF01">
            <w:pPr>
              <w:widowControl/>
              <w:spacing w:line="240" w:lineRule="auto"/>
              <w:jc w:val="center"/>
              <w:rPr>
                <w:rFonts w:ascii="Times New Roman" w:hAnsi="Times New Roman" w:cs="Times New Roman"/>
                <w:sz w:val="24"/>
              </w:rPr>
            </w:pPr>
            <w:r>
              <w:rPr>
                <w:rFonts w:ascii="Times New Roman" w:hAnsi="Times New Roman" w:cs="Times New Roman"/>
                <w:sz w:val="24"/>
              </w:rPr>
              <w:t>TGCAGGCATCATGTCATACCA</w:t>
            </w:r>
          </w:p>
        </w:tc>
        <w:tc>
          <w:tcPr>
            <w:tcW w:w="744" w:type="pct"/>
            <w:vMerge w:val="continue"/>
            <w:vAlign w:val="center"/>
          </w:tcPr>
          <w:p w14:paraId="0AC98D54">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713F7953">
            <w:pPr>
              <w:widowControl/>
              <w:spacing w:line="240" w:lineRule="auto"/>
              <w:jc w:val="center"/>
              <w:rPr>
                <w:rFonts w:ascii="Times New Roman" w:hAnsi="Times New Roman" w:cs="Times New Roman"/>
                <w:sz w:val="24"/>
              </w:rPr>
            </w:pPr>
          </w:p>
        </w:tc>
      </w:tr>
      <w:tr w14:paraId="4C97367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446E907C">
            <w:pPr>
              <w:widowControl/>
              <w:spacing w:line="240" w:lineRule="auto"/>
              <w:jc w:val="center"/>
              <w:rPr>
                <w:rFonts w:ascii="Times New Roman" w:hAnsi="Times New Roman" w:cs="Times New Roman"/>
                <w:sz w:val="24"/>
              </w:rPr>
            </w:pPr>
            <w:r>
              <w:rPr>
                <w:rFonts w:ascii="Times New Roman" w:hAnsi="Times New Roman" w:cs="Times New Roman"/>
                <w:sz w:val="24"/>
              </w:rPr>
              <w:t>sec-R</w:t>
            </w:r>
          </w:p>
        </w:tc>
        <w:tc>
          <w:tcPr>
            <w:tcW w:w="2867" w:type="pct"/>
            <w:shd w:val="clear" w:color="auto" w:fill="auto"/>
            <w:vAlign w:val="center"/>
          </w:tcPr>
          <w:p w14:paraId="60A9B046">
            <w:pPr>
              <w:widowControl/>
              <w:spacing w:line="240" w:lineRule="auto"/>
              <w:jc w:val="center"/>
              <w:rPr>
                <w:rFonts w:ascii="Times New Roman" w:hAnsi="Times New Roman" w:cs="Times New Roman"/>
                <w:sz w:val="24"/>
              </w:rPr>
            </w:pPr>
            <w:r>
              <w:rPr>
                <w:rFonts w:ascii="Times New Roman" w:hAnsi="Times New Roman" w:cs="Times New Roman"/>
                <w:sz w:val="24"/>
              </w:rPr>
              <w:t xml:space="preserve">CTTGTATGTATGGAGGAATAACAA </w:t>
            </w:r>
          </w:p>
        </w:tc>
        <w:tc>
          <w:tcPr>
            <w:tcW w:w="744" w:type="pct"/>
            <w:vMerge w:val="restart"/>
            <w:vAlign w:val="center"/>
          </w:tcPr>
          <w:p w14:paraId="68DC555A">
            <w:pPr>
              <w:widowControl/>
              <w:spacing w:line="240" w:lineRule="auto"/>
              <w:jc w:val="center"/>
              <w:rPr>
                <w:rFonts w:ascii="Times New Roman" w:hAnsi="Times New Roman" w:cs="Times New Roman"/>
                <w:sz w:val="24"/>
              </w:rPr>
            </w:pPr>
            <w:r>
              <w:rPr>
                <w:rFonts w:ascii="Times New Roman" w:hAnsi="Times New Roman" w:cs="Times New Roman"/>
                <w:sz w:val="24"/>
              </w:rPr>
              <w:t>283</w:t>
            </w:r>
          </w:p>
        </w:tc>
        <w:tc>
          <w:tcPr>
            <w:tcW w:w="717" w:type="pct"/>
            <w:vMerge w:val="restart"/>
            <w:shd w:val="clear" w:color="auto" w:fill="auto"/>
            <w:vAlign w:val="center"/>
          </w:tcPr>
          <w:p w14:paraId="67C35B6C">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{"citationID":"h7gpfA3k","properties":{"formattedCitation":"[4]","plainCitation":"[4]","noteIndex":0},"citationItems":[{"id":1300,"uris":["http://zotero.org/users/13841690/items/FFRKE9AR"],"itemData":{"id":1300,"type":"article-journal","abstract":"AIMS: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3D034E9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60126E11">
            <w:pPr>
              <w:widowControl/>
              <w:spacing w:line="240" w:lineRule="auto"/>
              <w:jc w:val="center"/>
              <w:rPr>
                <w:rFonts w:ascii="Times New Roman" w:hAnsi="Times New Roman" w:cs="Times New Roman"/>
                <w:sz w:val="24"/>
              </w:rPr>
            </w:pPr>
            <w:r>
              <w:rPr>
                <w:rFonts w:ascii="Times New Roman" w:hAnsi="Times New Roman" w:cs="Times New Roman"/>
                <w:sz w:val="24"/>
              </w:rPr>
              <w:t>sec-F</w:t>
            </w:r>
          </w:p>
        </w:tc>
        <w:tc>
          <w:tcPr>
            <w:tcW w:w="2867" w:type="pct"/>
            <w:shd w:val="clear" w:color="auto" w:fill="auto"/>
            <w:vAlign w:val="center"/>
          </w:tcPr>
          <w:p w14:paraId="3E156A67">
            <w:pPr>
              <w:widowControl/>
              <w:spacing w:line="240" w:lineRule="auto"/>
              <w:jc w:val="center"/>
              <w:rPr>
                <w:rFonts w:ascii="Times New Roman" w:hAnsi="Times New Roman" w:cs="Times New Roman"/>
                <w:sz w:val="24"/>
              </w:rPr>
            </w:pPr>
            <w:r>
              <w:rPr>
                <w:rFonts w:ascii="Times New Roman" w:hAnsi="Times New Roman" w:cs="Times New Roman"/>
                <w:sz w:val="24"/>
              </w:rPr>
              <w:t>TGCAGGCATCATATCATACCA</w:t>
            </w:r>
          </w:p>
        </w:tc>
        <w:tc>
          <w:tcPr>
            <w:tcW w:w="744" w:type="pct"/>
            <w:vMerge w:val="continue"/>
            <w:vAlign w:val="center"/>
          </w:tcPr>
          <w:p w14:paraId="569FBE4B">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49542B06">
            <w:pPr>
              <w:widowControl/>
              <w:spacing w:line="240" w:lineRule="auto"/>
              <w:jc w:val="center"/>
              <w:rPr>
                <w:rFonts w:ascii="Times New Roman" w:hAnsi="Times New Roman" w:cs="Times New Roman"/>
                <w:sz w:val="24"/>
              </w:rPr>
            </w:pPr>
          </w:p>
        </w:tc>
      </w:tr>
      <w:tr w14:paraId="3E2D5C2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42EB90D0">
            <w:pPr>
              <w:widowControl/>
              <w:spacing w:line="240" w:lineRule="auto"/>
              <w:jc w:val="center"/>
              <w:rPr>
                <w:rFonts w:ascii="Times New Roman" w:hAnsi="Times New Roman" w:cs="Times New Roman"/>
                <w:sz w:val="24"/>
              </w:rPr>
            </w:pPr>
            <w:r>
              <w:rPr>
                <w:rFonts w:ascii="Times New Roman" w:hAnsi="Times New Roman" w:cs="Times New Roman"/>
                <w:sz w:val="24"/>
              </w:rPr>
              <w:t>sed-F</w:t>
            </w:r>
          </w:p>
        </w:tc>
        <w:tc>
          <w:tcPr>
            <w:tcW w:w="2867" w:type="pct"/>
            <w:shd w:val="clear" w:color="auto" w:fill="auto"/>
            <w:vAlign w:val="center"/>
          </w:tcPr>
          <w:p w14:paraId="621F42BE">
            <w:pPr>
              <w:widowControl/>
              <w:spacing w:line="240" w:lineRule="auto"/>
              <w:jc w:val="center"/>
              <w:rPr>
                <w:rFonts w:ascii="Times New Roman" w:hAnsi="Times New Roman" w:cs="Times New Roman"/>
                <w:sz w:val="24"/>
              </w:rPr>
            </w:pPr>
            <w:r>
              <w:rPr>
                <w:rFonts w:ascii="Times New Roman" w:hAnsi="Times New Roman" w:cs="Times New Roman"/>
                <w:sz w:val="24"/>
              </w:rPr>
              <w:t xml:space="preserve">CTAGTTTGGTAATATCTCCT </w:t>
            </w:r>
          </w:p>
        </w:tc>
        <w:tc>
          <w:tcPr>
            <w:tcW w:w="744" w:type="pct"/>
            <w:vMerge w:val="restart"/>
            <w:vAlign w:val="center"/>
          </w:tcPr>
          <w:p w14:paraId="6450624A">
            <w:pPr>
              <w:widowControl/>
              <w:spacing w:line="240" w:lineRule="auto"/>
              <w:jc w:val="center"/>
              <w:rPr>
                <w:rFonts w:ascii="Times New Roman" w:hAnsi="Times New Roman" w:cs="Times New Roman"/>
                <w:sz w:val="24"/>
              </w:rPr>
            </w:pPr>
            <w:r>
              <w:rPr>
                <w:rFonts w:ascii="Times New Roman" w:hAnsi="Times New Roman" w:cs="Times New Roman"/>
                <w:sz w:val="24"/>
              </w:rPr>
              <w:t>317</w:t>
            </w:r>
          </w:p>
        </w:tc>
        <w:tc>
          <w:tcPr>
            <w:tcW w:w="717" w:type="pct"/>
            <w:vMerge w:val="restart"/>
            <w:shd w:val="clear" w:color="auto" w:fill="auto"/>
            <w:vAlign w:val="center"/>
          </w:tcPr>
          <w:p w14:paraId="7AD7A6F7">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{"citationID":"FK9JcumM","properties":{"formattedCitation":"[4]","plainCitation":"[4]","noteIndex":0},"citationItems":[{"id":1300,"uris":["http://zotero.org/users/13841690/items/FFRKE9AR"],"itemData":{"id":1300,"type":"article-journal","abstract":"AIMS: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6E72699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6D33FDFB">
            <w:pPr>
              <w:widowControl/>
              <w:spacing w:line="240" w:lineRule="auto"/>
              <w:jc w:val="center"/>
              <w:rPr>
                <w:rFonts w:ascii="Times New Roman" w:hAnsi="Times New Roman" w:cs="Times New Roman"/>
                <w:sz w:val="24"/>
              </w:rPr>
            </w:pPr>
            <w:r>
              <w:rPr>
                <w:rFonts w:ascii="Times New Roman" w:hAnsi="Times New Roman" w:cs="Times New Roman"/>
                <w:sz w:val="24"/>
              </w:rPr>
              <w:t>sed-R</w:t>
            </w:r>
          </w:p>
        </w:tc>
        <w:tc>
          <w:tcPr>
            <w:tcW w:w="2867" w:type="pct"/>
            <w:shd w:val="clear" w:color="auto" w:fill="auto"/>
            <w:vAlign w:val="center"/>
          </w:tcPr>
          <w:p w14:paraId="7EA37586">
            <w:pPr>
              <w:widowControl/>
              <w:spacing w:line="240" w:lineRule="auto"/>
              <w:jc w:val="center"/>
              <w:rPr>
                <w:rFonts w:ascii="Times New Roman" w:hAnsi="Times New Roman" w:cs="Times New Roman"/>
                <w:sz w:val="24"/>
              </w:rPr>
            </w:pPr>
            <w:r>
              <w:rPr>
                <w:rFonts w:ascii="Times New Roman" w:hAnsi="Times New Roman" w:cs="Times New Roman"/>
                <w:sz w:val="24"/>
              </w:rPr>
              <w:t>TAATGCTATATCTTATAGGG</w:t>
            </w:r>
          </w:p>
        </w:tc>
        <w:tc>
          <w:tcPr>
            <w:tcW w:w="744" w:type="pct"/>
            <w:vMerge w:val="continue"/>
            <w:vAlign w:val="center"/>
          </w:tcPr>
          <w:p w14:paraId="5FE092E2">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456FD605">
            <w:pPr>
              <w:widowControl/>
              <w:spacing w:line="240" w:lineRule="auto"/>
              <w:jc w:val="center"/>
              <w:rPr>
                <w:rFonts w:ascii="Times New Roman" w:hAnsi="Times New Roman" w:cs="Times New Roman"/>
                <w:sz w:val="24"/>
              </w:rPr>
            </w:pPr>
          </w:p>
        </w:tc>
      </w:tr>
      <w:tr w14:paraId="6C8B42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36489ACC">
            <w:pPr>
              <w:widowControl/>
              <w:spacing w:line="240" w:lineRule="auto"/>
              <w:jc w:val="center"/>
              <w:rPr>
                <w:rFonts w:ascii="Times New Roman" w:hAnsi="Times New Roman" w:cs="Times New Roman"/>
                <w:sz w:val="24"/>
              </w:rPr>
            </w:pPr>
            <w:r>
              <w:rPr>
                <w:rFonts w:ascii="Times New Roman" w:hAnsi="Times New Roman" w:cs="Times New Roman"/>
                <w:sz w:val="24"/>
              </w:rPr>
              <w:t>see-F</w:t>
            </w:r>
          </w:p>
        </w:tc>
        <w:tc>
          <w:tcPr>
            <w:tcW w:w="2867" w:type="pct"/>
            <w:shd w:val="clear" w:color="auto" w:fill="auto"/>
            <w:vAlign w:val="center"/>
          </w:tcPr>
          <w:p w14:paraId="1A6743BA">
            <w:pPr>
              <w:widowControl/>
              <w:spacing w:line="240" w:lineRule="auto"/>
              <w:jc w:val="center"/>
              <w:rPr>
                <w:rFonts w:ascii="Times New Roman" w:hAnsi="Times New Roman" w:cs="Times New Roman"/>
                <w:sz w:val="24"/>
              </w:rPr>
            </w:pPr>
            <w:r>
              <w:rPr>
                <w:rFonts w:ascii="Times New Roman" w:hAnsi="Times New Roman" w:cs="Times New Roman"/>
                <w:sz w:val="24"/>
              </w:rPr>
              <w:t xml:space="preserve">TACCAATTAACTTGTGGATAGAC </w:t>
            </w:r>
          </w:p>
        </w:tc>
        <w:tc>
          <w:tcPr>
            <w:tcW w:w="744" w:type="pct"/>
            <w:vMerge w:val="restart"/>
            <w:vAlign w:val="center"/>
          </w:tcPr>
          <w:p w14:paraId="069DF238">
            <w:pPr>
              <w:widowControl/>
              <w:spacing w:line="240" w:lineRule="auto"/>
              <w:jc w:val="center"/>
              <w:rPr>
                <w:rFonts w:ascii="Times New Roman" w:hAnsi="Times New Roman" w:cs="Times New Roman"/>
                <w:sz w:val="24"/>
              </w:rPr>
            </w:pPr>
            <w:r>
              <w:rPr>
                <w:rFonts w:ascii="Times New Roman" w:hAnsi="Times New Roman" w:cs="Times New Roman"/>
                <w:sz w:val="24"/>
              </w:rPr>
              <w:t>170</w:t>
            </w:r>
          </w:p>
        </w:tc>
        <w:tc>
          <w:tcPr>
            <w:tcW w:w="717" w:type="pct"/>
            <w:vMerge w:val="restart"/>
            <w:shd w:val="clear" w:color="auto" w:fill="auto"/>
            <w:vAlign w:val="center"/>
          </w:tcPr>
          <w:p w14:paraId="7461F1EF">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{"citationID":"OjAWh1BU","properties":{"formattedCitation":"[4]","plainCitation":"[4]","noteIndex":0},"citationItems":[{"id":1300,"uris":["http://zotero.org/users/13841690/items/FFRKE9AR"],"itemData":{"id":1300,"type":"article-journal","abstract":"AIMS: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1858B3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357E5416">
            <w:pPr>
              <w:widowControl/>
              <w:spacing w:line="240" w:lineRule="auto"/>
              <w:jc w:val="center"/>
              <w:rPr>
                <w:rFonts w:ascii="Times New Roman" w:hAnsi="Times New Roman" w:cs="Times New Roman"/>
                <w:sz w:val="24"/>
              </w:rPr>
            </w:pPr>
            <w:r>
              <w:rPr>
                <w:rFonts w:ascii="Times New Roman" w:hAnsi="Times New Roman" w:cs="Times New Roman"/>
                <w:sz w:val="24"/>
              </w:rPr>
              <w:t>see-R</w:t>
            </w:r>
          </w:p>
        </w:tc>
        <w:tc>
          <w:tcPr>
            <w:tcW w:w="2867" w:type="pct"/>
            <w:shd w:val="clear" w:color="auto" w:fill="auto"/>
            <w:vAlign w:val="center"/>
          </w:tcPr>
          <w:p w14:paraId="4A6CA988">
            <w:pPr>
              <w:widowControl/>
              <w:spacing w:line="240" w:lineRule="auto"/>
              <w:jc w:val="center"/>
              <w:rPr>
                <w:rFonts w:ascii="Times New Roman" w:hAnsi="Times New Roman" w:cs="Times New Roman"/>
                <w:sz w:val="24"/>
              </w:rPr>
            </w:pPr>
            <w:r>
              <w:rPr>
                <w:rFonts w:ascii="Times New Roman" w:hAnsi="Times New Roman" w:cs="Times New Roman"/>
                <w:sz w:val="24"/>
              </w:rPr>
              <w:t>CTCTTTGCACCTTACCGC</w:t>
            </w:r>
          </w:p>
        </w:tc>
        <w:tc>
          <w:tcPr>
            <w:tcW w:w="744" w:type="pct"/>
            <w:vMerge w:val="continue"/>
            <w:vAlign w:val="center"/>
          </w:tcPr>
          <w:p w14:paraId="45B0A291">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24597E8D">
            <w:pPr>
              <w:widowControl/>
              <w:spacing w:line="240" w:lineRule="auto"/>
              <w:jc w:val="center"/>
              <w:rPr>
                <w:rFonts w:ascii="Times New Roman" w:hAnsi="Times New Roman" w:cs="Times New Roman"/>
                <w:sz w:val="24"/>
              </w:rPr>
            </w:pPr>
          </w:p>
        </w:tc>
      </w:tr>
      <w:tr w14:paraId="6049940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1DFC4B1E">
            <w:pPr>
              <w:widowControl/>
              <w:spacing w:line="240" w:lineRule="auto"/>
              <w:jc w:val="center"/>
              <w:rPr>
                <w:rFonts w:ascii="Times New Roman" w:hAnsi="Times New Roman" w:cs="Times New Roman"/>
                <w:sz w:val="24"/>
              </w:rPr>
            </w:pPr>
            <w:r>
              <w:rPr>
                <w:rFonts w:ascii="Times New Roman" w:hAnsi="Times New Roman" w:cs="Times New Roman"/>
                <w:sz w:val="24"/>
              </w:rPr>
              <w:t>tsst-1-F</w:t>
            </w:r>
          </w:p>
        </w:tc>
        <w:tc>
          <w:tcPr>
            <w:tcW w:w="2867" w:type="pct"/>
            <w:shd w:val="clear" w:color="auto" w:fill="auto"/>
            <w:vAlign w:val="center"/>
          </w:tcPr>
          <w:p w14:paraId="72DA8F91">
            <w:pPr>
              <w:widowControl/>
              <w:spacing w:line="240" w:lineRule="auto"/>
              <w:jc w:val="center"/>
              <w:rPr>
                <w:rFonts w:ascii="Times New Roman" w:hAnsi="Times New Roman" w:cs="Times New Roman"/>
                <w:sz w:val="24"/>
              </w:rPr>
            </w:pPr>
            <w:r>
              <w:rPr>
                <w:rFonts w:ascii="Times New Roman" w:hAnsi="Times New Roman" w:cs="Times New Roman"/>
                <w:sz w:val="24"/>
              </w:rPr>
              <w:t>GCTTGCGACAACTGCTACAG</w:t>
            </w:r>
          </w:p>
        </w:tc>
        <w:tc>
          <w:tcPr>
            <w:tcW w:w="744" w:type="pct"/>
            <w:vMerge w:val="restart"/>
            <w:vAlign w:val="center"/>
          </w:tcPr>
          <w:p w14:paraId="45C2AD6E">
            <w:pPr>
              <w:widowControl/>
              <w:spacing w:line="240" w:lineRule="auto"/>
              <w:jc w:val="center"/>
              <w:rPr>
                <w:rFonts w:ascii="Times New Roman" w:hAnsi="Times New Roman" w:cs="Times New Roman"/>
                <w:sz w:val="24"/>
              </w:rPr>
            </w:pPr>
            <w:r>
              <w:rPr>
                <w:rFonts w:ascii="Times New Roman" w:hAnsi="Times New Roman" w:cs="Times New Roman"/>
                <w:sz w:val="24"/>
              </w:rPr>
              <w:t>559</w:t>
            </w:r>
          </w:p>
        </w:tc>
        <w:tc>
          <w:tcPr>
            <w:tcW w:w="717" w:type="pct"/>
            <w:vMerge w:val="restart"/>
            <w:shd w:val="clear" w:color="auto" w:fill="auto"/>
            <w:vAlign w:val="center"/>
          </w:tcPr>
          <w:p w14:paraId="58842343">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{"citationID":"1aRWByQ3","properties":{"formattedCitation":"[4]","plainCitation":"[4]","noteIndex":0},"citationItems":[{"id":1300,"uris":["http://zotero.org/users/13841690/items/FFRKE9AR"],"itemData":{"id":1300,"type":"article-journal","abstract":"AIMS: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5C39AEC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01C1F1AC">
            <w:pPr>
              <w:widowControl/>
              <w:spacing w:line="240" w:lineRule="auto"/>
              <w:jc w:val="center"/>
              <w:rPr>
                <w:rFonts w:ascii="Times New Roman" w:hAnsi="Times New Roman" w:cs="Times New Roman"/>
                <w:sz w:val="24"/>
              </w:rPr>
            </w:pPr>
            <w:r>
              <w:rPr>
                <w:rFonts w:ascii="Times New Roman" w:hAnsi="Times New Roman" w:cs="Times New Roman"/>
                <w:sz w:val="24"/>
              </w:rPr>
              <w:t>tsst-1-R</w:t>
            </w:r>
          </w:p>
        </w:tc>
        <w:tc>
          <w:tcPr>
            <w:tcW w:w="2867" w:type="pct"/>
            <w:shd w:val="clear" w:color="auto" w:fill="auto"/>
            <w:vAlign w:val="center"/>
          </w:tcPr>
          <w:p w14:paraId="08610E62">
            <w:pPr>
              <w:widowControl/>
              <w:spacing w:line="240" w:lineRule="auto"/>
              <w:jc w:val="center"/>
              <w:rPr>
                <w:rFonts w:ascii="Times New Roman" w:hAnsi="Times New Roman" w:cs="Times New Roman"/>
                <w:sz w:val="24"/>
              </w:rPr>
            </w:pPr>
            <w:r>
              <w:rPr>
                <w:rFonts w:ascii="Times New Roman" w:hAnsi="Times New Roman" w:cs="Times New Roman"/>
                <w:sz w:val="24"/>
              </w:rPr>
              <w:t>TGGATCCGTCATTCATTGTTAT</w:t>
            </w:r>
          </w:p>
        </w:tc>
        <w:tc>
          <w:tcPr>
            <w:tcW w:w="744" w:type="pct"/>
            <w:vMerge w:val="continue"/>
            <w:vAlign w:val="center"/>
          </w:tcPr>
          <w:p w14:paraId="0E71703E">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30EBAC31">
            <w:pPr>
              <w:widowControl/>
              <w:spacing w:line="240" w:lineRule="auto"/>
              <w:jc w:val="center"/>
              <w:rPr>
                <w:rFonts w:ascii="Times New Roman" w:hAnsi="Times New Roman" w:cs="Times New Roman"/>
                <w:sz w:val="24"/>
              </w:rPr>
            </w:pPr>
          </w:p>
        </w:tc>
      </w:tr>
      <w:tr w14:paraId="64490A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2BF3CC3F">
            <w:pPr>
              <w:widowControl/>
              <w:spacing w:line="240" w:lineRule="auto"/>
              <w:jc w:val="center"/>
              <w:rPr>
                <w:rFonts w:ascii="Times New Roman" w:hAnsi="Times New Roman" w:cs="Times New Roman"/>
                <w:sz w:val="24"/>
              </w:rPr>
            </w:pPr>
            <w:r>
              <w:rPr>
                <w:rFonts w:ascii="Times New Roman" w:hAnsi="Times New Roman" w:cs="Times New Roman"/>
                <w:sz w:val="24"/>
              </w:rPr>
              <w:t>lukE-D-F</w:t>
            </w:r>
          </w:p>
        </w:tc>
        <w:tc>
          <w:tcPr>
            <w:tcW w:w="2867" w:type="pct"/>
            <w:shd w:val="clear" w:color="auto" w:fill="auto"/>
            <w:vAlign w:val="center"/>
          </w:tcPr>
          <w:p w14:paraId="42EF5FE8">
            <w:pPr>
              <w:widowControl/>
              <w:spacing w:line="240" w:lineRule="auto"/>
              <w:jc w:val="center"/>
              <w:rPr>
                <w:rFonts w:ascii="Times New Roman" w:hAnsi="Times New Roman" w:cs="Times New Roman"/>
                <w:sz w:val="24"/>
              </w:rPr>
            </w:pPr>
            <w:r>
              <w:rPr>
                <w:rFonts w:ascii="Times New Roman" w:hAnsi="Times New Roman" w:cs="Times New Roman"/>
                <w:sz w:val="24"/>
              </w:rPr>
              <w:t>TGAAAAAGGTTCAAAGTTGATACGAG</w:t>
            </w:r>
          </w:p>
        </w:tc>
        <w:tc>
          <w:tcPr>
            <w:tcW w:w="744" w:type="pct"/>
            <w:vMerge w:val="restart"/>
            <w:vAlign w:val="center"/>
          </w:tcPr>
          <w:p w14:paraId="743F2B02">
            <w:pPr>
              <w:widowControl/>
              <w:spacing w:line="240" w:lineRule="auto"/>
              <w:jc w:val="center"/>
              <w:rPr>
                <w:rFonts w:ascii="Times New Roman" w:hAnsi="Times New Roman" w:cs="Times New Roman"/>
                <w:sz w:val="24"/>
              </w:rPr>
            </w:pPr>
            <w:r>
              <w:rPr>
                <w:rFonts w:ascii="Times New Roman" w:hAnsi="Times New Roman" w:cs="Times New Roman"/>
                <w:sz w:val="24"/>
              </w:rPr>
              <w:t>269</w:t>
            </w:r>
          </w:p>
        </w:tc>
        <w:tc>
          <w:tcPr>
            <w:tcW w:w="717" w:type="pct"/>
            <w:vMerge w:val="restart"/>
            <w:shd w:val="clear" w:color="auto" w:fill="auto"/>
            <w:vAlign w:val="center"/>
          </w:tcPr>
          <w:p w14:paraId="3661E2DD">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{"citationID":"Ut5rcNta","properties":{"formattedCitation":"[4]","plainCitation":"[4]","noteIndex":0},"citationItems":[{"id":1300,"uris":["http://zotero.org/users/13841690/items/FFRKE9AR"],"itemData":{"id":1300,"type":"article-journal","abstract":"AIMS: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29B825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613533B6">
            <w:pPr>
              <w:widowControl/>
              <w:spacing w:line="240" w:lineRule="auto"/>
              <w:jc w:val="center"/>
              <w:rPr>
                <w:rFonts w:ascii="Times New Roman" w:hAnsi="Times New Roman" w:cs="Times New Roman"/>
                <w:sz w:val="24"/>
              </w:rPr>
            </w:pPr>
            <w:r>
              <w:rPr>
                <w:rFonts w:ascii="Times New Roman" w:hAnsi="Times New Roman" w:cs="Times New Roman"/>
                <w:sz w:val="24"/>
              </w:rPr>
              <w:t>lukE-D-R</w:t>
            </w:r>
          </w:p>
        </w:tc>
        <w:tc>
          <w:tcPr>
            <w:tcW w:w="2867" w:type="pct"/>
            <w:shd w:val="clear" w:color="auto" w:fill="auto"/>
            <w:vAlign w:val="center"/>
          </w:tcPr>
          <w:p w14:paraId="510DB27F">
            <w:pPr>
              <w:widowControl/>
              <w:spacing w:line="240" w:lineRule="auto"/>
              <w:jc w:val="center"/>
              <w:rPr>
                <w:rFonts w:ascii="Times New Roman" w:hAnsi="Times New Roman" w:cs="Times New Roman"/>
                <w:sz w:val="24"/>
              </w:rPr>
            </w:pPr>
            <w:r>
              <w:rPr>
                <w:rFonts w:ascii="Times New Roman" w:hAnsi="Times New Roman" w:cs="Times New Roman"/>
                <w:sz w:val="24"/>
              </w:rPr>
              <w:t>TGTATTCGATAGCAAAAGCAGTGCA</w:t>
            </w:r>
          </w:p>
        </w:tc>
        <w:tc>
          <w:tcPr>
            <w:tcW w:w="744" w:type="pct"/>
            <w:vMerge w:val="continue"/>
            <w:vAlign w:val="center"/>
          </w:tcPr>
          <w:p w14:paraId="158582C3">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3DF63766">
            <w:pPr>
              <w:widowControl/>
              <w:spacing w:line="240" w:lineRule="auto"/>
              <w:jc w:val="center"/>
              <w:rPr>
                <w:rFonts w:ascii="Times New Roman" w:hAnsi="Times New Roman" w:cs="Times New Roman"/>
                <w:sz w:val="24"/>
              </w:rPr>
            </w:pPr>
          </w:p>
        </w:tc>
      </w:tr>
      <w:tr w14:paraId="4A8EB95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1887BE8C">
            <w:pPr>
              <w:widowControl/>
              <w:spacing w:line="240" w:lineRule="auto"/>
              <w:jc w:val="center"/>
              <w:rPr>
                <w:rFonts w:ascii="Times New Roman" w:hAnsi="Times New Roman" w:cs="Times New Roman"/>
                <w:sz w:val="24"/>
              </w:rPr>
            </w:pPr>
            <w:r>
              <w:rPr>
                <w:rFonts w:ascii="Times New Roman" w:hAnsi="Times New Roman" w:cs="Times New Roman"/>
                <w:sz w:val="24"/>
              </w:rPr>
              <w:t>lukM-F</w:t>
            </w:r>
          </w:p>
        </w:tc>
        <w:tc>
          <w:tcPr>
            <w:tcW w:w="2867" w:type="pct"/>
            <w:shd w:val="clear" w:color="auto" w:fill="auto"/>
            <w:vAlign w:val="center"/>
          </w:tcPr>
          <w:p w14:paraId="2AA5B16A">
            <w:pPr>
              <w:widowControl/>
              <w:spacing w:line="240" w:lineRule="auto"/>
              <w:jc w:val="center"/>
              <w:rPr>
                <w:rFonts w:ascii="Times New Roman" w:hAnsi="Times New Roman" w:cs="Times New Roman"/>
                <w:sz w:val="24"/>
              </w:rPr>
            </w:pPr>
            <w:r>
              <w:rPr>
                <w:rFonts w:ascii="Times New Roman" w:hAnsi="Times New Roman" w:cs="Times New Roman"/>
                <w:sz w:val="24"/>
              </w:rPr>
              <w:t>TGGATGTTACCTATGCAACCTAC</w:t>
            </w:r>
          </w:p>
        </w:tc>
        <w:tc>
          <w:tcPr>
            <w:tcW w:w="744" w:type="pct"/>
            <w:vMerge w:val="restart"/>
            <w:vAlign w:val="center"/>
          </w:tcPr>
          <w:p w14:paraId="3193FDF5">
            <w:pPr>
              <w:widowControl/>
              <w:spacing w:line="240" w:lineRule="auto"/>
              <w:jc w:val="center"/>
              <w:rPr>
                <w:rFonts w:ascii="Times New Roman" w:hAnsi="Times New Roman" w:cs="Times New Roman"/>
                <w:sz w:val="24"/>
              </w:rPr>
            </w:pPr>
            <w:r>
              <w:rPr>
                <w:rFonts w:ascii="Times New Roman" w:hAnsi="Times New Roman" w:cs="Times New Roman"/>
                <w:sz w:val="24"/>
              </w:rPr>
              <w:t>780</w:t>
            </w:r>
          </w:p>
        </w:tc>
        <w:tc>
          <w:tcPr>
            <w:tcW w:w="717" w:type="pct"/>
            <w:vMerge w:val="restart"/>
            <w:shd w:val="clear" w:color="auto" w:fill="auto"/>
            <w:vAlign w:val="center"/>
          </w:tcPr>
          <w:p w14:paraId="158280AA">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{"citationID":"KYxCO8PQ","properties":{"formattedCitation":"[4]","plainCitation":"[4]","noteIndex":0},"citationItems":[{"id":1300,"uris":["http://zotero.org/users/13841690/items/FFRKE9AR"],"itemData":{"id":1300,"type":"article-journal","abstract":"AIMS: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7628BC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606A5384">
            <w:pPr>
              <w:widowControl/>
              <w:spacing w:line="240" w:lineRule="auto"/>
              <w:jc w:val="center"/>
              <w:rPr>
                <w:rFonts w:ascii="Times New Roman" w:hAnsi="Times New Roman" w:cs="Times New Roman"/>
                <w:sz w:val="24"/>
              </w:rPr>
            </w:pPr>
            <w:r>
              <w:rPr>
                <w:rFonts w:ascii="Times New Roman" w:hAnsi="Times New Roman" w:cs="Times New Roman"/>
                <w:sz w:val="24"/>
              </w:rPr>
              <w:t>lukM-R</w:t>
            </w:r>
          </w:p>
        </w:tc>
        <w:tc>
          <w:tcPr>
            <w:tcW w:w="2867" w:type="pct"/>
            <w:shd w:val="clear" w:color="auto" w:fill="auto"/>
            <w:vAlign w:val="center"/>
          </w:tcPr>
          <w:p w14:paraId="6A12DF45">
            <w:pPr>
              <w:widowControl/>
              <w:spacing w:line="240" w:lineRule="auto"/>
              <w:jc w:val="center"/>
              <w:rPr>
                <w:rFonts w:ascii="Times New Roman" w:hAnsi="Times New Roman" w:cs="Times New Roman"/>
                <w:sz w:val="24"/>
              </w:rPr>
            </w:pPr>
            <w:r>
              <w:rPr>
                <w:rFonts w:ascii="Times New Roman" w:hAnsi="Times New Roman" w:cs="Times New Roman"/>
                <w:sz w:val="24"/>
              </w:rPr>
              <w:t>GTTCGTTTCCATATAATGAATCACTAC</w:t>
            </w:r>
          </w:p>
        </w:tc>
        <w:tc>
          <w:tcPr>
            <w:tcW w:w="744" w:type="pct"/>
            <w:vMerge w:val="continue"/>
            <w:vAlign w:val="center"/>
          </w:tcPr>
          <w:p w14:paraId="710C3E9E">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7DCB2A75">
            <w:pPr>
              <w:widowControl/>
              <w:spacing w:line="240" w:lineRule="auto"/>
              <w:jc w:val="center"/>
              <w:rPr>
                <w:rFonts w:ascii="Times New Roman" w:hAnsi="Times New Roman" w:cs="Times New Roman"/>
                <w:sz w:val="24"/>
              </w:rPr>
            </w:pPr>
          </w:p>
        </w:tc>
      </w:tr>
      <w:tr w14:paraId="400A09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13D32C13">
            <w:pPr>
              <w:widowControl/>
              <w:spacing w:line="240" w:lineRule="auto"/>
              <w:jc w:val="center"/>
              <w:rPr>
                <w:rFonts w:ascii="Times New Roman" w:hAnsi="Times New Roman" w:cs="Times New Roman"/>
                <w:sz w:val="24"/>
              </w:rPr>
            </w:pPr>
            <w:r>
              <w:rPr>
                <w:rFonts w:ascii="Times New Roman" w:hAnsi="Times New Roman" w:cs="Times New Roman"/>
                <w:sz w:val="24"/>
              </w:rPr>
              <w:t>pvl-F</w:t>
            </w:r>
          </w:p>
        </w:tc>
        <w:tc>
          <w:tcPr>
            <w:tcW w:w="2867" w:type="pct"/>
            <w:shd w:val="clear" w:color="auto" w:fill="auto"/>
            <w:vAlign w:val="center"/>
          </w:tcPr>
          <w:p w14:paraId="274E9EB5">
            <w:pPr>
              <w:widowControl/>
              <w:spacing w:line="240" w:lineRule="auto"/>
              <w:jc w:val="center"/>
              <w:rPr>
                <w:rFonts w:ascii="Times New Roman" w:hAnsi="Times New Roman" w:cs="Times New Roman"/>
                <w:sz w:val="24"/>
              </w:rPr>
            </w:pPr>
            <w:r>
              <w:rPr>
                <w:rFonts w:ascii="Times New Roman" w:hAnsi="Times New Roman" w:cs="Times New Roman"/>
                <w:sz w:val="24"/>
              </w:rPr>
              <w:t>ATCATTAGGTAAAATGTCTGGACATGATCCA</w:t>
            </w:r>
          </w:p>
        </w:tc>
        <w:tc>
          <w:tcPr>
            <w:tcW w:w="744" w:type="pct"/>
            <w:vMerge w:val="restart"/>
            <w:vAlign w:val="center"/>
          </w:tcPr>
          <w:p w14:paraId="0E2B5C60">
            <w:pPr>
              <w:widowControl/>
              <w:spacing w:line="240" w:lineRule="auto"/>
              <w:jc w:val="center"/>
              <w:rPr>
                <w:rFonts w:ascii="Times New Roman" w:hAnsi="Times New Roman" w:cs="Times New Roman"/>
                <w:sz w:val="24"/>
              </w:rPr>
            </w:pPr>
            <w:r>
              <w:rPr>
                <w:rFonts w:ascii="Times New Roman" w:hAnsi="Times New Roman" w:cs="Times New Roman"/>
                <w:sz w:val="24"/>
              </w:rPr>
              <w:t>433</w:t>
            </w:r>
          </w:p>
        </w:tc>
        <w:tc>
          <w:tcPr>
            <w:tcW w:w="717" w:type="pct"/>
            <w:vMerge w:val="restart"/>
            <w:shd w:val="clear" w:color="auto" w:fill="auto"/>
            <w:vAlign w:val="center"/>
          </w:tcPr>
          <w:p w14:paraId="30838174">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{"citationID":"PdinE3xO","properties":{"formattedCitation":"[5]","plainCitation":"[5]","noteIndex":0},"citationItems":[{"id":1280,"uris":["http://zotero.org/users/13841690/items/BAGB2ZD9"],"itemData":{"id":1280,"type":"article-journal","abstract":"Panton-Valentine leukocidin (PVL) is a cytotoxin that causes leukocyte destruction and tissue necrosis. It is produced by fewer than 5% of Staphylococcus aureus strains. A collection of 172 S. aureus strains were screened for PVL genes by polymerase chain reaction amplification. PVL genes were detected in 93% of strains associated with furunculosis and in 85% of those associated with severe necrotic hemorrhagic pneumonia (all community-acquired). They were detected in 55% of cellulitis strains, 50% of cutaneous abscess strains, 23% of osteomyelitis strains, and 13% of finger-pulp-infection strains. PVL genes were not detected in strains responsible for other infections, such as infective endocarditis, mediastinitis, hospital-acquired pneumonia, urinary tract infection, and enterocolitis, or in those associated with toxic-shock syndrome. It thus appears that PVL is mainly associated with necrotic lesions involving the skin or mucosa.","container-title":"Clinical Infectious Diseases: An Official Publication of the Infectious Diseases Society of America","DOI":"10.1086/313461","ISSN":"1058-4838","issue":"5","journalAbbreviation":"Clinical Infectious Diseases: An Official Publication of the Infectious Diseases Society of America","language":"eng","note":"PMID: 10524952\ntitleTranslation: 产Panton - Valentine杀白细胞素金黄色葡萄球菌在原发性皮肤感染和肺炎中的作用","page":"1128-1132","source":"PubMed","title":"Involvement of Panton-Valentine leukocidin-producing Staphylococcus aureus in primary skin infections and pneumonia","volume":"29","author":[{"family":"Lina","given":"G."},{"family":"Piémont","given":"Y."},{"family":"Godail-Gamot","given":"F."},{"family":"Bes","given":"M."},{"family":"Peter","given":"M. O."},{"family":"Gauduchon","given":"V."},{"family":"Vandenesch","given":"F."},{"family":"Etienne","given":"J."}],"issued":{"date-parts":[["1999",11]]}}}],"schema":"https://github.com/citation-style-language/schema/raw/master/csl-citation.json"}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[5]</w:t>
            </w:r>
            <w:r>
              <w:rPr>
                <w:rFonts w:ascii="Times New Roman" w:hAnsi="Times New Roman" w:cs="Times New Roman"/>
                <w:sz w:val="24"/>
              </w:rPr>
              <w:fldChar w:fldCharType="end"/>
            </w:r>
          </w:p>
        </w:tc>
      </w:tr>
      <w:tr w14:paraId="6E5CE12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5C2B60D9">
            <w:pPr>
              <w:widowControl/>
              <w:spacing w:line="240" w:lineRule="auto"/>
              <w:jc w:val="center"/>
              <w:rPr>
                <w:rFonts w:ascii="Times New Roman" w:hAnsi="Times New Roman" w:cs="Times New Roman"/>
                <w:sz w:val="24"/>
              </w:rPr>
            </w:pPr>
            <w:r>
              <w:rPr>
                <w:rFonts w:ascii="Times New Roman" w:hAnsi="Times New Roman" w:cs="Times New Roman"/>
                <w:sz w:val="24"/>
              </w:rPr>
              <w:t>pvl-R</w:t>
            </w:r>
          </w:p>
        </w:tc>
        <w:tc>
          <w:tcPr>
            <w:tcW w:w="2867" w:type="pct"/>
            <w:shd w:val="clear" w:color="auto" w:fill="auto"/>
            <w:vAlign w:val="center"/>
          </w:tcPr>
          <w:p w14:paraId="072F54EE">
            <w:pPr>
              <w:widowControl/>
              <w:spacing w:line="240" w:lineRule="auto"/>
              <w:jc w:val="center"/>
              <w:rPr>
                <w:rFonts w:ascii="Times New Roman" w:hAnsi="Times New Roman" w:cs="Times New Roman"/>
                <w:sz w:val="24"/>
              </w:rPr>
            </w:pPr>
            <w:r>
              <w:rPr>
                <w:rFonts w:ascii="Times New Roman" w:hAnsi="Times New Roman" w:cs="Times New Roman"/>
                <w:sz w:val="24"/>
              </w:rPr>
              <w:t>GCATCAASTGTATTGGATAGCAAAAGC</w:t>
            </w:r>
          </w:p>
        </w:tc>
        <w:tc>
          <w:tcPr>
            <w:tcW w:w="744" w:type="pct"/>
            <w:vMerge w:val="continue"/>
            <w:vAlign w:val="center"/>
          </w:tcPr>
          <w:p w14:paraId="3DD9D7BF">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69369772">
            <w:pPr>
              <w:widowControl/>
              <w:spacing w:line="240" w:lineRule="auto"/>
              <w:jc w:val="center"/>
              <w:rPr>
                <w:rFonts w:ascii="Times New Roman" w:hAnsi="Times New Roman" w:cs="Times New Roman"/>
                <w:sz w:val="24"/>
              </w:rPr>
            </w:pPr>
          </w:p>
        </w:tc>
      </w:tr>
      <w:tr w14:paraId="1F7E32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7C3789B5">
            <w:pPr>
              <w:widowControl/>
              <w:spacing w:line="240" w:lineRule="auto"/>
              <w:jc w:val="center"/>
              <w:rPr>
                <w:rFonts w:ascii="Times New Roman" w:hAnsi="Times New Roman" w:cs="Times New Roman"/>
                <w:sz w:val="24"/>
              </w:rPr>
            </w:pPr>
            <w:r>
              <w:rPr>
                <w:rFonts w:ascii="Times New Roman" w:hAnsi="Times New Roman" w:cs="Times New Roman"/>
                <w:sz w:val="24"/>
              </w:rPr>
              <w:t>atlA-F</w:t>
            </w:r>
          </w:p>
        </w:tc>
        <w:tc>
          <w:tcPr>
            <w:tcW w:w="2867" w:type="pct"/>
            <w:shd w:val="clear" w:color="auto" w:fill="auto"/>
            <w:vAlign w:val="center"/>
          </w:tcPr>
          <w:p w14:paraId="79AAE973">
            <w:pPr>
              <w:widowControl/>
              <w:spacing w:line="240" w:lineRule="auto"/>
              <w:jc w:val="center"/>
              <w:rPr>
                <w:rFonts w:ascii="Times New Roman" w:hAnsi="Times New Roman" w:cs="Times New Roman"/>
                <w:sz w:val="24"/>
              </w:rPr>
            </w:pPr>
            <w:r>
              <w:rPr>
                <w:rFonts w:ascii="Times New Roman" w:hAnsi="Times New Roman" w:cs="Times New Roman"/>
                <w:sz w:val="24"/>
              </w:rPr>
              <w:t xml:space="preserve">AATGGTTGCATTAACGCTTGT </w:t>
            </w:r>
          </w:p>
        </w:tc>
        <w:tc>
          <w:tcPr>
            <w:tcW w:w="744" w:type="pct"/>
            <w:vMerge w:val="restart"/>
            <w:vAlign w:val="center"/>
          </w:tcPr>
          <w:p w14:paraId="2CCAD4FE">
            <w:pPr>
              <w:widowControl/>
              <w:spacing w:line="240" w:lineRule="auto"/>
              <w:jc w:val="center"/>
              <w:rPr>
                <w:rFonts w:ascii="Times New Roman" w:hAnsi="Times New Roman" w:cs="Times New Roman"/>
                <w:sz w:val="24"/>
              </w:rPr>
            </w:pPr>
            <w:r>
              <w:rPr>
                <w:rFonts w:ascii="Times New Roman" w:hAnsi="Times New Roman" w:cs="Times New Roman"/>
                <w:sz w:val="24"/>
              </w:rPr>
              <w:t>791</w:t>
            </w:r>
          </w:p>
        </w:tc>
        <w:tc>
          <w:tcPr>
            <w:tcW w:w="717" w:type="pct"/>
            <w:vMerge w:val="restart"/>
            <w:shd w:val="clear" w:color="auto" w:fill="auto"/>
            <w:vAlign w:val="center"/>
          </w:tcPr>
          <w:p w14:paraId="7C59E39F">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{"citationID":"vTXB8DdB","properties":{"formattedCitation":"[4]","plainCitation":"[4]","noteIndex":0},"citationItems":[{"id":1300,"uris":["http://zotero.org/users/13841690/items/FFRKE9AR"],"itemData":{"id":1300,"type":"article-journal","abstract":"AIMS: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710C72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475D021A">
            <w:pPr>
              <w:widowControl/>
              <w:spacing w:line="240" w:lineRule="auto"/>
              <w:jc w:val="center"/>
              <w:rPr>
                <w:rFonts w:ascii="Times New Roman" w:hAnsi="Times New Roman" w:cs="Times New Roman"/>
                <w:sz w:val="24"/>
              </w:rPr>
            </w:pPr>
            <w:r>
              <w:rPr>
                <w:rFonts w:ascii="Times New Roman" w:hAnsi="Times New Roman" w:cs="Times New Roman"/>
                <w:sz w:val="24"/>
              </w:rPr>
              <w:t>atlA-R</w:t>
            </w:r>
          </w:p>
        </w:tc>
        <w:tc>
          <w:tcPr>
            <w:tcW w:w="2867" w:type="pct"/>
            <w:shd w:val="clear" w:color="auto" w:fill="auto"/>
            <w:vAlign w:val="center"/>
          </w:tcPr>
          <w:p w14:paraId="56266D85">
            <w:pPr>
              <w:widowControl/>
              <w:spacing w:line="240" w:lineRule="auto"/>
              <w:jc w:val="center"/>
              <w:rPr>
                <w:rFonts w:ascii="Times New Roman" w:hAnsi="Times New Roman" w:cs="Times New Roman"/>
                <w:sz w:val="24"/>
              </w:rPr>
            </w:pPr>
            <w:r>
              <w:rPr>
                <w:rFonts w:ascii="Times New Roman" w:hAnsi="Times New Roman" w:cs="Times New Roman"/>
                <w:sz w:val="24"/>
              </w:rPr>
              <w:t>TTATCGTCGAACGATCATTAG</w:t>
            </w:r>
          </w:p>
        </w:tc>
        <w:tc>
          <w:tcPr>
            <w:tcW w:w="744" w:type="pct"/>
            <w:vMerge w:val="continue"/>
            <w:vAlign w:val="center"/>
          </w:tcPr>
          <w:p w14:paraId="1B446B80">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2ADCBB5C">
            <w:pPr>
              <w:widowControl/>
              <w:spacing w:line="240" w:lineRule="auto"/>
              <w:jc w:val="center"/>
              <w:rPr>
                <w:rFonts w:ascii="Times New Roman" w:hAnsi="Times New Roman" w:cs="Times New Roman"/>
                <w:sz w:val="24"/>
              </w:rPr>
            </w:pPr>
          </w:p>
        </w:tc>
      </w:tr>
      <w:tr w14:paraId="299915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05859D5E">
            <w:pPr>
              <w:widowControl/>
              <w:spacing w:line="240" w:lineRule="auto"/>
              <w:jc w:val="center"/>
              <w:rPr>
                <w:rFonts w:ascii="Times New Roman" w:hAnsi="Times New Roman" w:cs="Times New Roman"/>
                <w:sz w:val="24"/>
              </w:rPr>
            </w:pPr>
            <w:r>
              <w:rPr>
                <w:rFonts w:ascii="Times New Roman" w:hAnsi="Times New Roman" w:cs="Times New Roman"/>
                <w:sz w:val="24"/>
              </w:rPr>
              <w:t>clfA-F</w:t>
            </w:r>
          </w:p>
        </w:tc>
        <w:tc>
          <w:tcPr>
            <w:tcW w:w="2867" w:type="pct"/>
            <w:shd w:val="clear" w:color="auto" w:fill="auto"/>
            <w:vAlign w:val="center"/>
          </w:tcPr>
          <w:p w14:paraId="71F2D16C">
            <w:pPr>
              <w:widowControl/>
              <w:spacing w:line="240" w:lineRule="auto"/>
              <w:jc w:val="center"/>
              <w:rPr>
                <w:rFonts w:ascii="Times New Roman" w:hAnsi="Times New Roman" w:cs="Times New Roman"/>
                <w:sz w:val="24"/>
              </w:rPr>
            </w:pPr>
            <w:r>
              <w:rPr>
                <w:rFonts w:ascii="Times New Roman" w:hAnsi="Times New Roman" w:cs="Times New Roman"/>
                <w:sz w:val="24"/>
              </w:rPr>
              <w:t xml:space="preserve">GGCTTCAGTGCTTGTAGG </w:t>
            </w:r>
          </w:p>
        </w:tc>
        <w:tc>
          <w:tcPr>
            <w:tcW w:w="744" w:type="pct"/>
            <w:vMerge w:val="restart"/>
            <w:vAlign w:val="center"/>
          </w:tcPr>
          <w:p w14:paraId="0B5917DF">
            <w:pPr>
              <w:widowControl/>
              <w:spacing w:line="240" w:lineRule="auto"/>
              <w:jc w:val="center"/>
              <w:rPr>
                <w:rFonts w:ascii="Times New Roman" w:hAnsi="Times New Roman" w:cs="Times New Roman"/>
                <w:sz w:val="24"/>
              </w:rPr>
            </w:pPr>
            <w:r>
              <w:rPr>
                <w:rFonts w:ascii="Times New Roman" w:hAnsi="Times New Roman" w:cs="Times New Roman"/>
                <w:sz w:val="24"/>
              </w:rPr>
              <w:t>1042</w:t>
            </w:r>
          </w:p>
        </w:tc>
        <w:tc>
          <w:tcPr>
            <w:tcW w:w="717" w:type="pct"/>
            <w:vMerge w:val="restart"/>
            <w:shd w:val="clear" w:color="auto" w:fill="auto"/>
            <w:vAlign w:val="center"/>
          </w:tcPr>
          <w:p w14:paraId="73F56E65">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{"citationID":"5rJD1MjF","properties":{"formattedCitation":"[4]","plainCitation":"[4]","noteIndex":0},"citationItems":[{"id":1300,"uris":["http://zotero.org/users/13841690/items/FFRKE9AR"],"itemData":{"id":1300,"type":"article-journal","abstract":"AIMS: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6D44C0F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70D00159">
            <w:pPr>
              <w:widowControl/>
              <w:spacing w:line="240" w:lineRule="auto"/>
              <w:jc w:val="center"/>
              <w:rPr>
                <w:rFonts w:ascii="Times New Roman" w:hAnsi="Times New Roman" w:cs="Times New Roman"/>
                <w:sz w:val="24"/>
              </w:rPr>
            </w:pPr>
            <w:r>
              <w:rPr>
                <w:rFonts w:ascii="Times New Roman" w:hAnsi="Times New Roman" w:cs="Times New Roman"/>
                <w:sz w:val="24"/>
              </w:rPr>
              <w:t>clfA-R</w:t>
            </w:r>
          </w:p>
        </w:tc>
        <w:tc>
          <w:tcPr>
            <w:tcW w:w="2867" w:type="pct"/>
            <w:shd w:val="clear" w:color="auto" w:fill="auto"/>
            <w:vAlign w:val="center"/>
          </w:tcPr>
          <w:p w14:paraId="76D0A4C5">
            <w:pPr>
              <w:widowControl/>
              <w:spacing w:line="240" w:lineRule="auto"/>
              <w:jc w:val="center"/>
              <w:rPr>
                <w:rFonts w:ascii="Times New Roman" w:hAnsi="Times New Roman" w:cs="Times New Roman"/>
                <w:sz w:val="24"/>
              </w:rPr>
            </w:pPr>
            <w:r>
              <w:rPr>
                <w:rFonts w:ascii="Times New Roman" w:hAnsi="Times New Roman" w:cs="Times New Roman"/>
                <w:sz w:val="24"/>
              </w:rPr>
              <w:t>TTTTCAGGGTCAATATAAGC</w:t>
            </w:r>
          </w:p>
        </w:tc>
        <w:tc>
          <w:tcPr>
            <w:tcW w:w="744" w:type="pct"/>
            <w:vMerge w:val="continue"/>
            <w:vAlign w:val="center"/>
          </w:tcPr>
          <w:p w14:paraId="3D4E1A12">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784AEBCB">
            <w:pPr>
              <w:widowControl/>
              <w:spacing w:line="240" w:lineRule="auto"/>
              <w:jc w:val="center"/>
              <w:rPr>
                <w:rFonts w:ascii="Times New Roman" w:hAnsi="Times New Roman" w:cs="Times New Roman"/>
                <w:sz w:val="24"/>
              </w:rPr>
            </w:pPr>
          </w:p>
        </w:tc>
      </w:tr>
      <w:tr w14:paraId="262000A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01AC4F4E">
            <w:pPr>
              <w:widowControl/>
              <w:spacing w:line="240" w:lineRule="auto"/>
              <w:jc w:val="center"/>
              <w:rPr>
                <w:rFonts w:ascii="Times New Roman" w:hAnsi="Times New Roman" w:cs="Times New Roman"/>
                <w:sz w:val="24"/>
              </w:rPr>
            </w:pPr>
            <w:r>
              <w:rPr>
                <w:rFonts w:ascii="Times New Roman" w:hAnsi="Times New Roman" w:cs="Times New Roman"/>
                <w:sz w:val="24"/>
              </w:rPr>
              <w:t>clfB-F</w:t>
            </w:r>
          </w:p>
        </w:tc>
        <w:tc>
          <w:tcPr>
            <w:tcW w:w="2867" w:type="pct"/>
            <w:shd w:val="clear" w:color="auto" w:fill="auto"/>
            <w:vAlign w:val="center"/>
          </w:tcPr>
          <w:p w14:paraId="4A6B0906">
            <w:pPr>
              <w:widowControl/>
              <w:spacing w:line="240" w:lineRule="auto"/>
              <w:jc w:val="center"/>
              <w:rPr>
                <w:rFonts w:ascii="Times New Roman" w:hAnsi="Times New Roman" w:cs="Times New Roman"/>
                <w:sz w:val="24"/>
              </w:rPr>
            </w:pPr>
            <w:r>
              <w:rPr>
                <w:rFonts w:ascii="Times New Roman" w:hAnsi="Times New Roman" w:cs="Times New Roman"/>
                <w:sz w:val="24"/>
              </w:rPr>
              <w:t xml:space="preserve">TGCAAGATCAAACTGTTCCT </w:t>
            </w:r>
          </w:p>
        </w:tc>
        <w:tc>
          <w:tcPr>
            <w:tcW w:w="744" w:type="pct"/>
            <w:vMerge w:val="restart"/>
            <w:vAlign w:val="center"/>
          </w:tcPr>
          <w:p w14:paraId="07461309">
            <w:pPr>
              <w:widowControl/>
              <w:spacing w:line="240" w:lineRule="auto"/>
              <w:jc w:val="center"/>
              <w:rPr>
                <w:rFonts w:ascii="Times New Roman" w:hAnsi="Times New Roman" w:cs="Times New Roman"/>
                <w:sz w:val="24"/>
              </w:rPr>
            </w:pPr>
            <w:r>
              <w:rPr>
                <w:rFonts w:ascii="Times New Roman" w:hAnsi="Times New Roman" w:cs="Times New Roman"/>
                <w:sz w:val="24"/>
              </w:rPr>
              <w:t>596</w:t>
            </w:r>
          </w:p>
        </w:tc>
        <w:tc>
          <w:tcPr>
            <w:tcW w:w="717" w:type="pct"/>
            <w:vMerge w:val="restart"/>
            <w:shd w:val="clear" w:color="auto" w:fill="auto"/>
            <w:vAlign w:val="center"/>
          </w:tcPr>
          <w:p w14:paraId="2655014F">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{"citationID":"4eijAC6v","properties":{"formattedCitation":"[4]","plainCitation":"[4]","noteIndex":0},"citationItems":[{"id":1300,"uris":["http://zotero.org/users/13841690/items/FFRKE9AR"],"itemData":{"id":1300,"type":"article-journal","abstract":"AIMS: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4C10E1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34C5CF0D">
            <w:pPr>
              <w:widowControl/>
              <w:spacing w:line="240" w:lineRule="auto"/>
              <w:jc w:val="center"/>
              <w:rPr>
                <w:rFonts w:ascii="Times New Roman" w:hAnsi="Times New Roman" w:cs="Times New Roman"/>
                <w:sz w:val="24"/>
              </w:rPr>
            </w:pPr>
            <w:r>
              <w:rPr>
                <w:rFonts w:ascii="Times New Roman" w:hAnsi="Times New Roman" w:cs="Times New Roman"/>
                <w:sz w:val="24"/>
              </w:rPr>
              <w:t>clfB-R</w:t>
            </w:r>
          </w:p>
        </w:tc>
        <w:tc>
          <w:tcPr>
            <w:tcW w:w="2867" w:type="pct"/>
            <w:shd w:val="clear" w:color="auto" w:fill="auto"/>
            <w:vAlign w:val="center"/>
          </w:tcPr>
          <w:p w14:paraId="23A4EB09">
            <w:pPr>
              <w:widowControl/>
              <w:spacing w:line="240" w:lineRule="auto"/>
              <w:jc w:val="center"/>
              <w:rPr>
                <w:rFonts w:ascii="Times New Roman" w:hAnsi="Times New Roman" w:cs="Times New Roman"/>
                <w:sz w:val="24"/>
              </w:rPr>
            </w:pPr>
            <w:r>
              <w:rPr>
                <w:rFonts w:ascii="Times New Roman" w:hAnsi="Times New Roman" w:cs="Times New Roman"/>
                <w:sz w:val="24"/>
              </w:rPr>
              <w:t>TCGGTCTGTAAATAAAGGTA</w:t>
            </w:r>
          </w:p>
        </w:tc>
        <w:tc>
          <w:tcPr>
            <w:tcW w:w="744" w:type="pct"/>
            <w:vMerge w:val="continue"/>
            <w:vAlign w:val="center"/>
          </w:tcPr>
          <w:p w14:paraId="08D96C6C">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18212EE6">
            <w:pPr>
              <w:widowControl/>
              <w:spacing w:line="240" w:lineRule="auto"/>
              <w:jc w:val="center"/>
              <w:rPr>
                <w:rFonts w:ascii="Times New Roman" w:hAnsi="Times New Roman" w:cs="Times New Roman"/>
                <w:sz w:val="24"/>
              </w:rPr>
            </w:pPr>
          </w:p>
        </w:tc>
      </w:tr>
      <w:tr w14:paraId="461309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3EB56028">
            <w:pPr>
              <w:widowControl/>
              <w:spacing w:line="240" w:lineRule="auto"/>
              <w:jc w:val="center"/>
              <w:rPr>
                <w:rFonts w:ascii="Times New Roman" w:hAnsi="Times New Roman" w:cs="Times New Roman"/>
                <w:sz w:val="24"/>
              </w:rPr>
            </w:pPr>
            <w:r>
              <w:rPr>
                <w:rFonts w:ascii="Times New Roman" w:hAnsi="Times New Roman" w:cs="Times New Roman"/>
                <w:sz w:val="24"/>
              </w:rPr>
              <w:t>fnbA-F</w:t>
            </w:r>
          </w:p>
        </w:tc>
        <w:tc>
          <w:tcPr>
            <w:tcW w:w="2867" w:type="pct"/>
            <w:shd w:val="clear" w:color="auto" w:fill="auto"/>
            <w:vAlign w:val="center"/>
          </w:tcPr>
          <w:p w14:paraId="4F36B0F4">
            <w:pPr>
              <w:widowControl/>
              <w:spacing w:line="240" w:lineRule="auto"/>
              <w:jc w:val="center"/>
              <w:rPr>
                <w:rFonts w:ascii="Times New Roman" w:hAnsi="Times New Roman" w:cs="Times New Roman"/>
                <w:sz w:val="24"/>
              </w:rPr>
            </w:pPr>
            <w:r>
              <w:rPr>
                <w:rFonts w:ascii="Times New Roman" w:hAnsi="Times New Roman" w:cs="Times New Roman"/>
                <w:sz w:val="24"/>
              </w:rPr>
              <w:t>CACAACCAGCAAATATAG</w:t>
            </w:r>
          </w:p>
        </w:tc>
        <w:tc>
          <w:tcPr>
            <w:tcW w:w="744" w:type="pct"/>
            <w:vMerge w:val="restart"/>
            <w:vAlign w:val="center"/>
          </w:tcPr>
          <w:p w14:paraId="002F52FE">
            <w:pPr>
              <w:widowControl/>
              <w:spacing w:line="240" w:lineRule="auto"/>
              <w:jc w:val="center"/>
              <w:rPr>
                <w:rFonts w:ascii="Times New Roman" w:hAnsi="Times New Roman" w:cs="Times New Roman"/>
                <w:sz w:val="24"/>
              </w:rPr>
            </w:pPr>
            <w:r>
              <w:rPr>
                <w:rFonts w:ascii="Times New Roman" w:hAnsi="Times New Roman" w:cs="Times New Roman"/>
                <w:sz w:val="24"/>
              </w:rPr>
              <w:t>1279</w:t>
            </w:r>
          </w:p>
        </w:tc>
        <w:tc>
          <w:tcPr>
            <w:tcW w:w="717" w:type="pct"/>
            <w:vMerge w:val="restart"/>
            <w:shd w:val="clear" w:color="auto" w:fill="auto"/>
            <w:vAlign w:val="center"/>
          </w:tcPr>
          <w:p w14:paraId="328F7F4A">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{"citationID":"0McKyrFT","properties":{"formattedCitation":"[6]","plainCitation":"[6]","noteIndex":0},"citationItems":[{"id":1296,"uris":["http://zotero.org/users/13841690/items/T3ARP92C"],"itemData":{"id":1296,"type":"article-journal","abstract":"Methicillin-resistant Staphylococcus aureus (MRSA) is responsible for hard-to-treat infections. The presence of 19 virulence genes in 120 MRSA isolates obtained from hospitalized patients and genetic relationships of these isolates were investigated. The eno (100%) and ebps (93.3%) genes encoding laminin- and elastin binding proteins, respectively, were ubiquitous. Other adhesion genes: fib (77.5%), fnbB (41.6%), bbp (40.8%), cna (30.8%) encoding proteins binding fibrinogen, fibronectin, bone sialoprotein and collagen, respectively, and map/eap (62.5%), encoding Eap, were also frequent. The etB and etD genes, encoding exfoliative toxins, were present in 15.6% and 12.5% isolates, respectively. The splA, splE and sspA, encoding serine protease were detected in 100%, 70.8% and 94.2% isolates, respectively. The tst gene, encoding toxic shock syndrome toxin-1 was found in 75% isolates. The cna, map/eap and tst genes were the most common in wound isolates and much less common in blood isolates. We identified 45 different spa types, t003 (21.7%) and t008 (18.8%) being the most common. The t003 was the most frequent among isolates from the respiratory tract (35.5%), while t008 in blood isolates (40%). Identification of virulence factors of MRSA is important for evaluation of pathogen transmission rate and disease development.","container-title":"Scientific Reports","DOI":"10.1038/s41598-022-09517-x","ISSN":"2045-2322","issue":"1","journalAbbreviation":"Sci. Rep.","language":"eng","note":"PMID: 35361858\nPMCID: PMC8971418\ntitleTranslation: 波兰住院患者不同感染来源的耐甲氧西林金黄色葡萄球菌毒力因子流行情况\nJCR分区: Q1\n中科院分区升级版: 综合性期刊2区\n影响因子: 3.8\n5年影响因子: 4.3","page":"5477","source":"PubMed","title":"The prevalence of virulence determinants in methicillin-resistant Staphylococcus aureus isolated from different infections in hospitalized patients in Poland","volume":"12","author":[{"family":"Kot","given":"Barbara"},{"family":"Piechota","given":"Małgorzata"},{"family":"Jakubczak","given":"Andrzej"},{"family":"Gryzińska","given":"Magdalena"},{"family":"Witeska","given":"Małgorzata"},{"family":"Grużewska","given":"Agata"},{"family":"Baran","given":"Katarzyna"},{"family":"Denkiewicz","given":"Paulina"}],"issued":{"date-parts":[["2022",3,31]]}}}],"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[6]</w:t>
            </w:r>
            <w:r>
              <w:rPr>
                <w:rFonts w:ascii="Times New Roman" w:hAnsi="Times New Roman" w:cs="Times New Roman"/>
                <w:sz w:val="24"/>
              </w:rPr>
              <w:fldChar w:fldCharType="end"/>
            </w:r>
          </w:p>
        </w:tc>
      </w:tr>
      <w:tr w14:paraId="11C0891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635BD21C">
            <w:pPr>
              <w:widowControl/>
              <w:spacing w:line="240" w:lineRule="auto"/>
              <w:jc w:val="center"/>
              <w:rPr>
                <w:rFonts w:ascii="Times New Roman" w:hAnsi="Times New Roman" w:cs="Times New Roman"/>
                <w:sz w:val="24"/>
              </w:rPr>
            </w:pPr>
            <w:r>
              <w:rPr>
                <w:rFonts w:ascii="Times New Roman" w:hAnsi="Times New Roman" w:cs="Times New Roman"/>
                <w:sz w:val="24"/>
              </w:rPr>
              <w:t>fnbA-R</w:t>
            </w:r>
          </w:p>
        </w:tc>
        <w:tc>
          <w:tcPr>
            <w:tcW w:w="2867" w:type="pct"/>
            <w:shd w:val="clear" w:color="auto" w:fill="auto"/>
            <w:vAlign w:val="center"/>
          </w:tcPr>
          <w:p w14:paraId="54987062">
            <w:pPr>
              <w:widowControl/>
              <w:spacing w:line="240" w:lineRule="auto"/>
              <w:jc w:val="center"/>
              <w:rPr>
                <w:rFonts w:ascii="Times New Roman" w:hAnsi="Times New Roman" w:cs="Times New Roman"/>
                <w:sz w:val="24"/>
              </w:rPr>
            </w:pPr>
            <w:r>
              <w:rPr>
                <w:rFonts w:ascii="Times New Roman" w:hAnsi="Times New Roman" w:cs="Times New Roman"/>
                <w:sz w:val="24"/>
              </w:rPr>
              <w:t>CTGTGTGGTAATCAATGTC</w:t>
            </w:r>
          </w:p>
        </w:tc>
        <w:tc>
          <w:tcPr>
            <w:tcW w:w="744" w:type="pct"/>
            <w:vMerge w:val="continue"/>
            <w:vAlign w:val="center"/>
          </w:tcPr>
          <w:p w14:paraId="771C553C">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14FEE5BF">
            <w:pPr>
              <w:widowControl/>
              <w:spacing w:line="240" w:lineRule="auto"/>
              <w:jc w:val="center"/>
              <w:rPr>
                <w:rFonts w:ascii="Times New Roman" w:hAnsi="Times New Roman" w:cs="Times New Roman"/>
                <w:sz w:val="24"/>
              </w:rPr>
            </w:pPr>
          </w:p>
        </w:tc>
      </w:tr>
      <w:tr w14:paraId="3698A0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2258BDE8">
            <w:pPr>
              <w:widowControl/>
              <w:spacing w:line="240" w:lineRule="auto"/>
              <w:jc w:val="center"/>
              <w:rPr>
                <w:rFonts w:ascii="Times New Roman" w:hAnsi="Times New Roman" w:cs="Times New Roman"/>
                <w:sz w:val="24"/>
              </w:rPr>
            </w:pPr>
            <w:r>
              <w:rPr>
                <w:rFonts w:ascii="Times New Roman" w:hAnsi="Times New Roman" w:cs="Times New Roman"/>
                <w:sz w:val="24"/>
              </w:rPr>
              <w:t>fnbB-F</w:t>
            </w:r>
          </w:p>
        </w:tc>
        <w:tc>
          <w:tcPr>
            <w:tcW w:w="2867" w:type="pct"/>
            <w:shd w:val="clear" w:color="auto" w:fill="auto"/>
            <w:vAlign w:val="center"/>
          </w:tcPr>
          <w:p w14:paraId="417A32BD">
            <w:pPr>
              <w:widowControl/>
              <w:spacing w:line="240" w:lineRule="auto"/>
              <w:jc w:val="center"/>
              <w:rPr>
                <w:rFonts w:ascii="Times New Roman" w:hAnsi="Times New Roman" w:cs="Times New Roman"/>
                <w:sz w:val="24"/>
              </w:rPr>
            </w:pPr>
            <w:r>
              <w:rPr>
                <w:rFonts w:ascii="Times New Roman" w:hAnsi="Times New Roman" w:cs="Times New Roman"/>
                <w:sz w:val="24"/>
              </w:rPr>
              <w:t>CAGAAGTACCAAGCGAGCCGGAAA</w:t>
            </w:r>
          </w:p>
        </w:tc>
        <w:tc>
          <w:tcPr>
            <w:tcW w:w="744" w:type="pct"/>
            <w:vMerge w:val="restart"/>
            <w:vAlign w:val="center"/>
          </w:tcPr>
          <w:p w14:paraId="07F9651D">
            <w:pPr>
              <w:widowControl/>
              <w:spacing w:line="240" w:lineRule="auto"/>
              <w:jc w:val="center"/>
              <w:rPr>
                <w:rFonts w:ascii="Times New Roman" w:hAnsi="Times New Roman" w:cs="Times New Roman"/>
                <w:sz w:val="24"/>
              </w:rPr>
            </w:pPr>
            <w:r>
              <w:rPr>
                <w:rFonts w:ascii="Times New Roman" w:hAnsi="Times New Roman" w:cs="Times New Roman"/>
                <w:sz w:val="24"/>
              </w:rPr>
              <w:t>258</w:t>
            </w:r>
          </w:p>
        </w:tc>
        <w:tc>
          <w:tcPr>
            <w:tcW w:w="717" w:type="pct"/>
            <w:vMerge w:val="restart"/>
            <w:shd w:val="clear" w:color="auto" w:fill="auto"/>
            <w:vAlign w:val="center"/>
          </w:tcPr>
          <w:p w14:paraId="05A8C4F5">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{"citationID":"w8anJlav","properties":{"formattedCitation":"[6]","plainCitation":"[6]","noteIndex":0},"citationItems":[{"id":1296,"uris":["http://zotero.org/users/13841690/items/T3ARP92C"],"itemData":{"id":1296,"type":"article-journal","abstract":"Methicillin-resistant Staphylococcus aureus (MRSA) is responsible for hard-to-treat infections. The presence of 19 virulence genes in 120 MRSA isolates obtained from hospitalized patients and genetic relationships of these isolates were investigated. The eno (100%) and ebps (93.3%) genes encoding laminin- and elastin binding proteins, respectively, were ubiquitous. Other adhesion genes: fib (77.5%), fnbB (41.6%), bbp (40.8%), cna (30.8%) encoding proteins binding fibrinogen, fibronectin, bone sialoprotein and collagen, respectively, and map/eap (62.5%), encoding Eap, were also frequent. The etB and etD genes, encoding exfoliative toxins, were present in 15.6% and 12.5% isolates, respectively. The splA, splE and sspA, encoding serine protease were detected in 100%, 70.8% and 94.2% isolates, respectively. The tst gene, encoding toxic shock syndrome toxin-1 was found in 75% isolates. The cna, map/eap and tst genes were the most common in wound isolates and much less common in blood isolates. We identified 45 different spa types, t003 (21.7%) and t008 (18.8%) being the most common. The t003 was the most frequent among isolates from the respiratory tract (35.5%), while t008 in blood isolates (40%). Identification of virulence factors of MRSA is important for evaluation of pathogen transmission rate and disease development.","container-title":"Scientific Reports","DOI":"10.1038/s41598-022-09517-x","ISSN":"2045-2322","issue":"1","journalAbbreviation":"Sci. Rep.","language":"eng","note":"PMID: 35361858\nPMCID: PMC8971418\ntitleTranslation: 波兰住院患者不同感染来源的耐甲氧西林金黄色葡萄球菌毒力因子流行情况\nJCR分区: Q1\n中科院分区升级版: 综合性期刊2区\n影响因子: 3.8\n5年影响因子: 4.3","page":"5477","source":"PubMed","title":"The prevalence of virulence determinants in methicillin-resistant Staphylococcus aureus isolated from different infections in hospitalized patients in Poland","volume":"12","author":[{"family":"Kot","given":"Barbara"},{"family":"Piechota","given":"Małgorzata"},{"family":"Jakubczak","given":"Andrzej"},{"family":"Gryzińska","given":"Magdalena"},{"family":"Witeska","given":"Małgorzata"},{"family":"Grużewska","given":"Agata"},{"family":"Baran","given":"Katarzyna"},{"family":"Denkiewicz","given":"Paulina"}],"issued":{"date-parts":[["2022",3,31]]}}}],"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[6]</w:t>
            </w:r>
            <w:r>
              <w:rPr>
                <w:rFonts w:ascii="Times New Roman" w:hAnsi="Times New Roman" w:cs="Times New Roman"/>
                <w:sz w:val="24"/>
              </w:rPr>
              <w:fldChar w:fldCharType="end"/>
            </w:r>
          </w:p>
        </w:tc>
      </w:tr>
      <w:tr w14:paraId="60067D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184103A4">
            <w:pPr>
              <w:widowControl/>
              <w:spacing w:line="240" w:lineRule="auto"/>
              <w:jc w:val="center"/>
              <w:rPr>
                <w:rFonts w:ascii="Times New Roman" w:hAnsi="Times New Roman" w:cs="Times New Roman"/>
                <w:sz w:val="24"/>
              </w:rPr>
            </w:pPr>
            <w:r>
              <w:rPr>
                <w:rFonts w:ascii="Times New Roman" w:hAnsi="Times New Roman" w:cs="Times New Roman"/>
                <w:sz w:val="24"/>
              </w:rPr>
              <w:t>fnbB-R</w:t>
            </w:r>
          </w:p>
        </w:tc>
        <w:tc>
          <w:tcPr>
            <w:tcW w:w="2867" w:type="pct"/>
            <w:shd w:val="clear" w:color="auto" w:fill="auto"/>
            <w:vAlign w:val="center"/>
          </w:tcPr>
          <w:p w14:paraId="11357A28">
            <w:pPr>
              <w:widowControl/>
              <w:spacing w:line="240" w:lineRule="auto"/>
              <w:jc w:val="center"/>
              <w:rPr>
                <w:rFonts w:ascii="Times New Roman" w:hAnsi="Times New Roman" w:cs="Times New Roman"/>
                <w:sz w:val="24"/>
              </w:rPr>
            </w:pPr>
            <w:r>
              <w:rPr>
                <w:rFonts w:ascii="Times New Roman" w:hAnsi="Times New Roman" w:cs="Times New Roman"/>
                <w:sz w:val="24"/>
              </w:rPr>
              <w:t>CGAACAACATGCCGTTGTTTGTTGA</w:t>
            </w:r>
          </w:p>
        </w:tc>
        <w:tc>
          <w:tcPr>
            <w:tcW w:w="744" w:type="pct"/>
            <w:vMerge w:val="continue"/>
            <w:vAlign w:val="center"/>
          </w:tcPr>
          <w:p w14:paraId="4B9C0043">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3AC2D8DE">
            <w:pPr>
              <w:widowControl/>
              <w:spacing w:line="240" w:lineRule="auto"/>
              <w:jc w:val="center"/>
              <w:rPr>
                <w:rFonts w:ascii="Times New Roman" w:hAnsi="Times New Roman" w:cs="Times New Roman"/>
                <w:sz w:val="24"/>
              </w:rPr>
            </w:pPr>
          </w:p>
        </w:tc>
      </w:tr>
      <w:tr w14:paraId="4B2FC3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90" w:hRule="atLeast"/>
        </w:trPr>
        <w:tc>
          <w:tcPr>
            <w:tcW w:w="672" w:type="pct"/>
            <w:shd w:val="clear" w:color="auto" w:fill="auto"/>
            <w:vAlign w:val="center"/>
          </w:tcPr>
          <w:p w14:paraId="7419357F">
            <w:pPr>
              <w:widowControl/>
              <w:spacing w:line="240" w:lineRule="auto"/>
              <w:jc w:val="center"/>
              <w:rPr>
                <w:rFonts w:ascii="Times New Roman" w:hAnsi="Times New Roman" w:cs="Times New Roman"/>
                <w:sz w:val="24"/>
              </w:rPr>
            </w:pPr>
            <w:r>
              <w:rPr>
                <w:rFonts w:ascii="Times New Roman" w:hAnsi="Times New Roman" w:cs="Times New Roman"/>
                <w:sz w:val="24"/>
              </w:rPr>
              <w:t>bap-F</w:t>
            </w:r>
          </w:p>
        </w:tc>
        <w:tc>
          <w:tcPr>
            <w:tcW w:w="2867" w:type="pct"/>
            <w:shd w:val="clear" w:color="auto" w:fill="auto"/>
            <w:vAlign w:val="center"/>
          </w:tcPr>
          <w:p w14:paraId="062651E2">
            <w:pPr>
              <w:widowControl/>
              <w:spacing w:line="240" w:lineRule="auto"/>
              <w:jc w:val="center"/>
              <w:rPr>
                <w:rFonts w:ascii="Times New Roman" w:hAnsi="Times New Roman" w:cs="Times New Roman"/>
                <w:sz w:val="24"/>
              </w:rPr>
            </w:pPr>
            <w:r>
              <w:rPr>
                <w:rFonts w:ascii="Times New Roman" w:hAnsi="Times New Roman" w:cs="Times New Roman"/>
                <w:sz w:val="24"/>
              </w:rPr>
              <w:t>CCCTATATCGAAGGTGTAGAATTGCAC</w:t>
            </w:r>
          </w:p>
        </w:tc>
        <w:tc>
          <w:tcPr>
            <w:tcW w:w="744" w:type="pct"/>
            <w:vMerge w:val="restart"/>
            <w:vAlign w:val="center"/>
          </w:tcPr>
          <w:p w14:paraId="0720119D">
            <w:pPr>
              <w:widowControl/>
              <w:spacing w:line="240" w:lineRule="auto"/>
              <w:jc w:val="center"/>
              <w:rPr>
                <w:rFonts w:ascii="Times New Roman" w:hAnsi="Times New Roman" w:cs="Times New Roman"/>
                <w:sz w:val="24"/>
              </w:rPr>
            </w:pPr>
            <w:r>
              <w:rPr>
                <w:rFonts w:ascii="Times New Roman" w:hAnsi="Times New Roman" w:cs="Times New Roman"/>
                <w:sz w:val="24"/>
              </w:rPr>
              <w:t>971</w:t>
            </w:r>
          </w:p>
        </w:tc>
        <w:tc>
          <w:tcPr>
            <w:tcW w:w="717" w:type="pct"/>
            <w:vMerge w:val="restart"/>
            <w:shd w:val="clear" w:color="auto" w:fill="auto"/>
            <w:vAlign w:val="center"/>
          </w:tcPr>
          <w:p w14:paraId="74506496">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{"citationID":"MpufWoKp","properties":{"formattedCitation":"[3]","plainCitation":"[3]","noteIndex":0},"citationItems":[{"id":1887,"uris":["http://zotero.org/users/13841690/items/IJ5X9P2C"],"itemData":{"id":1887,"type":"article-journal","abstract":"OBJECTIVES: Biofilm -forming capacity of Staphylococcus aureus (S. aureus) as a commensal opportunistic bacterial species induce a growth in antibiotic resistance in chronic diseases. Since expression of biofilm- related genes and antibiotic resistance function are interdependent, the present study was an attempt to inquire biofilm formation and its relationship with antibiotic resistance in clinical isolates.\nMETHODS: 208 S. aureus clinical isolates from four major provinces of Iran were investigated in terms of presence of adhesion genes (icaA, icaD, icaB, icaC, fnbpA, fnbpB, clfA, clfB, cna, sasC, sasG and bap) using PCR. In addition, microtiter plate (Mtp) assay was performed to examine quantitative biofilm formation of the isolates and their antibiotic resistance patterns against 16 antibiotics determined upon CLSI criteria.\nRESULTS: The results revealed high prevalence rate (almost 100%) of icaADBC and MSCRAMMs genes in the isolates. Moreover, bap gene was not detected in any of the tested clinical isolates. Based on phenotypic method 169 isolates (81.25%) were also found to have biofilm formation ability. Among 208 isolates, 98 (47.12%) isolates were multidrug resistant (MDR). Vancomycin, linezolid, nitrofurantoin and quinupristin/dalfopristin were the most effective drugs against MDR strains. Furthermore, the findings demonstrated a significant relationship between MDR and biofilm forming capacity.\nCONCLUSION: Prevalence rate of adhesion- related genes was high in S. aureus from isolates in Iran ;so these genes might be expressed under certain conditions and cause emergence of MDR strains. Therefore, further investigations are necessary to prevent initial attachment based on new candidate adhesion genes for vaccine design.","container-title":"Journal of Global Antimicrobial Resistance","DOI":"10.1016/j.jgar.2020.02.025","ISSN":"2213-7173","journalAbbreviation":"J Glob Antimicrob Resist","language":"eng","note":"PMID: 32169685\ntitleTranslation: 来自不同患者和健康个体的金黄色葡萄球菌分离株的粘附相关基因和多药耐药模式之间存在协同关联\nJCR分区: Q2\n中科院分区升级版: 医学3区\n影响因子: 3.7\n5年影响因子: 3.8\n南农高质量: B","page":"379-385","source":"PubMed","title":"A synergistic association between adhesion-related genes and multidrug resistance patterns of Staphylococcus aureus isolates from different patients and healthy individuals","volume":"22","author":[{"family":"Parastan","given":"Raziey"},{"family":"Kargar","given":"Mohammad"},{"family":"Solhjoo","given":"Kavous"},{"family":"Kafilzadeh","given":"Farshid"}],"issued":{"date-parts":[["2020",9]]}}}],"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[3]</w:t>
            </w:r>
            <w:r>
              <w:rPr>
                <w:rFonts w:ascii="Times New Roman" w:hAnsi="Times New Roman" w:cs="Times New Roman"/>
                <w:sz w:val="24"/>
              </w:rPr>
              <w:fldChar w:fldCharType="end"/>
            </w:r>
          </w:p>
        </w:tc>
      </w:tr>
      <w:tr w14:paraId="50C09DA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02646813">
            <w:pPr>
              <w:widowControl/>
              <w:spacing w:line="240" w:lineRule="auto"/>
              <w:jc w:val="center"/>
              <w:rPr>
                <w:rFonts w:ascii="Times New Roman" w:hAnsi="Times New Roman" w:cs="Times New Roman"/>
                <w:sz w:val="24"/>
              </w:rPr>
            </w:pPr>
            <w:r>
              <w:rPr>
                <w:rFonts w:ascii="Times New Roman" w:hAnsi="Times New Roman" w:cs="Times New Roman"/>
                <w:sz w:val="24"/>
              </w:rPr>
              <w:t>bap-R</w:t>
            </w:r>
          </w:p>
        </w:tc>
        <w:tc>
          <w:tcPr>
            <w:tcW w:w="2867" w:type="pct"/>
            <w:shd w:val="clear" w:color="auto" w:fill="auto"/>
            <w:vAlign w:val="center"/>
          </w:tcPr>
          <w:p w14:paraId="60F9411F">
            <w:pPr>
              <w:widowControl/>
              <w:spacing w:line="240" w:lineRule="auto"/>
              <w:jc w:val="center"/>
              <w:rPr>
                <w:rFonts w:ascii="Times New Roman" w:hAnsi="Times New Roman" w:cs="Times New Roman"/>
                <w:sz w:val="24"/>
              </w:rPr>
            </w:pPr>
            <w:r>
              <w:rPr>
                <w:rFonts w:ascii="Times New Roman" w:hAnsi="Times New Roman" w:cs="Times New Roman"/>
                <w:sz w:val="24"/>
              </w:rPr>
              <w:t>GCTGTTGAAGTTAATACTGTACCTGC</w:t>
            </w:r>
          </w:p>
        </w:tc>
        <w:tc>
          <w:tcPr>
            <w:tcW w:w="744" w:type="pct"/>
            <w:vMerge w:val="continue"/>
            <w:vAlign w:val="center"/>
          </w:tcPr>
          <w:p w14:paraId="55442026">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31923323">
            <w:pPr>
              <w:widowControl/>
              <w:spacing w:line="240" w:lineRule="auto"/>
              <w:jc w:val="center"/>
              <w:rPr>
                <w:rFonts w:ascii="Times New Roman" w:hAnsi="Times New Roman" w:cs="Times New Roman"/>
                <w:sz w:val="24"/>
              </w:rPr>
            </w:pPr>
          </w:p>
        </w:tc>
      </w:tr>
      <w:tr w14:paraId="03664AA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086DFF7F">
            <w:pPr>
              <w:widowControl/>
              <w:spacing w:line="240" w:lineRule="auto"/>
              <w:jc w:val="center"/>
              <w:rPr>
                <w:rFonts w:ascii="Times New Roman" w:hAnsi="Times New Roman" w:cs="Times New Roman"/>
                <w:sz w:val="24"/>
              </w:rPr>
            </w:pPr>
            <w:r>
              <w:rPr>
                <w:rFonts w:ascii="Times New Roman" w:hAnsi="Times New Roman" w:cs="Times New Roman"/>
                <w:sz w:val="24"/>
              </w:rPr>
              <w:t>bbp-F</w:t>
            </w:r>
          </w:p>
        </w:tc>
        <w:tc>
          <w:tcPr>
            <w:tcW w:w="2867" w:type="pct"/>
            <w:shd w:val="clear" w:color="auto" w:fill="auto"/>
            <w:vAlign w:val="center"/>
          </w:tcPr>
          <w:p w14:paraId="7EEF5219">
            <w:pPr>
              <w:widowControl/>
              <w:spacing w:line="240" w:lineRule="auto"/>
              <w:jc w:val="center"/>
              <w:rPr>
                <w:rFonts w:ascii="Times New Roman" w:hAnsi="Times New Roman" w:cs="Times New Roman"/>
                <w:sz w:val="24"/>
              </w:rPr>
            </w:pPr>
            <w:r>
              <w:rPr>
                <w:rFonts w:ascii="Times New Roman" w:hAnsi="Times New Roman" w:cs="Times New Roman"/>
                <w:sz w:val="24"/>
              </w:rPr>
              <w:t xml:space="preserve">CAGTAAATGTGTCAAAGA </w:t>
            </w:r>
          </w:p>
        </w:tc>
        <w:tc>
          <w:tcPr>
            <w:tcW w:w="744" w:type="pct"/>
            <w:vMerge w:val="restart"/>
            <w:vAlign w:val="center"/>
          </w:tcPr>
          <w:p w14:paraId="3E2D744E">
            <w:pPr>
              <w:widowControl/>
              <w:spacing w:line="240" w:lineRule="auto"/>
              <w:jc w:val="center"/>
              <w:rPr>
                <w:rFonts w:ascii="Times New Roman" w:hAnsi="Times New Roman" w:cs="Times New Roman"/>
                <w:sz w:val="24"/>
              </w:rPr>
            </w:pPr>
            <w:r>
              <w:rPr>
                <w:rFonts w:ascii="Times New Roman" w:hAnsi="Times New Roman" w:cs="Times New Roman"/>
                <w:sz w:val="24"/>
              </w:rPr>
              <w:t>1050</w:t>
            </w:r>
          </w:p>
        </w:tc>
        <w:tc>
          <w:tcPr>
            <w:tcW w:w="717" w:type="pct"/>
            <w:vMerge w:val="restart"/>
            <w:shd w:val="clear" w:color="auto" w:fill="auto"/>
            <w:vAlign w:val="center"/>
          </w:tcPr>
          <w:p w14:paraId="70D3AB7A">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{"citationID":"6S8fDR8S","properties":{"formattedCitation":"[4]","plainCitation":"[4]","noteIndex":0},"citationItems":[{"id":1300,"uris":["http://zotero.org/users/13841690/items/FFRKE9AR"],"itemData":{"id":1300,"type":"article-journal","abstract":"AIMS: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45BB43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064BA34C">
            <w:pPr>
              <w:widowControl/>
              <w:spacing w:line="240" w:lineRule="auto"/>
              <w:jc w:val="center"/>
              <w:rPr>
                <w:rFonts w:ascii="Times New Roman" w:hAnsi="Times New Roman" w:cs="Times New Roman"/>
                <w:sz w:val="24"/>
              </w:rPr>
            </w:pPr>
            <w:r>
              <w:rPr>
                <w:rFonts w:ascii="Times New Roman" w:hAnsi="Times New Roman" w:cs="Times New Roman"/>
                <w:sz w:val="24"/>
              </w:rPr>
              <w:t>bbp-R</w:t>
            </w:r>
          </w:p>
        </w:tc>
        <w:tc>
          <w:tcPr>
            <w:tcW w:w="2867" w:type="pct"/>
            <w:shd w:val="clear" w:color="auto" w:fill="auto"/>
            <w:vAlign w:val="center"/>
          </w:tcPr>
          <w:p w14:paraId="1EC442EC">
            <w:pPr>
              <w:widowControl/>
              <w:spacing w:line="240" w:lineRule="auto"/>
              <w:jc w:val="center"/>
              <w:rPr>
                <w:rFonts w:ascii="Times New Roman" w:hAnsi="Times New Roman" w:cs="Times New Roman"/>
                <w:sz w:val="24"/>
              </w:rPr>
            </w:pPr>
            <w:r>
              <w:rPr>
                <w:rFonts w:ascii="Times New Roman" w:hAnsi="Times New Roman" w:cs="Times New Roman"/>
                <w:sz w:val="24"/>
              </w:rPr>
              <w:t xml:space="preserve">TACACCCTGTTGAACTG </w:t>
            </w:r>
          </w:p>
        </w:tc>
        <w:tc>
          <w:tcPr>
            <w:tcW w:w="744" w:type="pct"/>
            <w:vMerge w:val="continue"/>
            <w:vAlign w:val="center"/>
          </w:tcPr>
          <w:p w14:paraId="6A4826EE">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6D0A7870">
            <w:pPr>
              <w:widowControl/>
              <w:spacing w:line="240" w:lineRule="auto"/>
              <w:jc w:val="center"/>
              <w:rPr>
                <w:rFonts w:ascii="Times New Roman" w:hAnsi="Times New Roman" w:cs="Times New Roman"/>
                <w:sz w:val="24"/>
              </w:rPr>
            </w:pPr>
          </w:p>
        </w:tc>
      </w:tr>
      <w:tr w14:paraId="119787C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3C258EC1">
            <w:pPr>
              <w:widowControl/>
              <w:spacing w:line="240" w:lineRule="auto"/>
              <w:jc w:val="center"/>
              <w:rPr>
                <w:rFonts w:ascii="Times New Roman" w:hAnsi="Times New Roman" w:cs="Times New Roman"/>
                <w:sz w:val="24"/>
              </w:rPr>
            </w:pPr>
            <w:r>
              <w:rPr>
                <w:rFonts w:ascii="Times New Roman" w:hAnsi="Times New Roman" w:cs="Times New Roman"/>
                <w:sz w:val="24"/>
              </w:rPr>
              <w:t>cna-F</w:t>
            </w:r>
          </w:p>
        </w:tc>
        <w:tc>
          <w:tcPr>
            <w:tcW w:w="2867" w:type="pct"/>
            <w:shd w:val="clear" w:color="auto" w:fill="auto"/>
            <w:vAlign w:val="center"/>
          </w:tcPr>
          <w:p w14:paraId="07E25630">
            <w:pPr>
              <w:widowControl/>
              <w:spacing w:line="240" w:lineRule="auto"/>
              <w:jc w:val="center"/>
              <w:rPr>
                <w:rFonts w:ascii="Times New Roman" w:hAnsi="Times New Roman" w:cs="Times New Roman"/>
                <w:sz w:val="24"/>
              </w:rPr>
            </w:pPr>
            <w:r>
              <w:rPr>
                <w:rFonts w:ascii="Times New Roman" w:hAnsi="Times New Roman" w:cs="Times New Roman"/>
                <w:sz w:val="24"/>
              </w:rPr>
              <w:t xml:space="preserve">GTCAAGCAGTTATTAACACCAGAC </w:t>
            </w:r>
          </w:p>
        </w:tc>
        <w:tc>
          <w:tcPr>
            <w:tcW w:w="744" w:type="pct"/>
            <w:vMerge w:val="restart"/>
            <w:vAlign w:val="center"/>
          </w:tcPr>
          <w:p w14:paraId="11111B46">
            <w:pPr>
              <w:widowControl/>
              <w:spacing w:line="240" w:lineRule="auto"/>
              <w:jc w:val="center"/>
              <w:rPr>
                <w:rFonts w:ascii="Times New Roman" w:hAnsi="Times New Roman" w:cs="Times New Roman"/>
                <w:sz w:val="24"/>
              </w:rPr>
            </w:pPr>
            <w:r>
              <w:rPr>
                <w:rFonts w:ascii="Times New Roman" w:hAnsi="Times New Roman" w:cs="Times New Roman"/>
                <w:sz w:val="24"/>
              </w:rPr>
              <w:t>423</w:t>
            </w:r>
          </w:p>
        </w:tc>
        <w:tc>
          <w:tcPr>
            <w:tcW w:w="717" w:type="pct"/>
            <w:vMerge w:val="restart"/>
            <w:shd w:val="clear" w:color="auto" w:fill="auto"/>
            <w:vAlign w:val="center"/>
          </w:tcPr>
          <w:p w14:paraId="585009DF">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{"citationID":"oQXFcXby","properties":{"formattedCitation":"[4]","plainCitation":"[4]","noteIndex":0},"citationItems":[{"id":1300,"uris":["http://zotero.org/users/13841690/items/FFRKE9AR"],"itemData":{"id":1300,"type":"article-journal","abstract":"AIMS: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7F25C45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7D3FC57C">
            <w:pPr>
              <w:widowControl/>
              <w:spacing w:line="240" w:lineRule="auto"/>
              <w:jc w:val="center"/>
              <w:rPr>
                <w:rFonts w:ascii="Times New Roman" w:hAnsi="Times New Roman" w:cs="Times New Roman"/>
                <w:sz w:val="24"/>
              </w:rPr>
            </w:pPr>
            <w:r>
              <w:rPr>
                <w:rFonts w:ascii="Times New Roman" w:hAnsi="Times New Roman" w:cs="Times New Roman"/>
                <w:sz w:val="24"/>
              </w:rPr>
              <w:t>cna-R</w:t>
            </w:r>
          </w:p>
        </w:tc>
        <w:tc>
          <w:tcPr>
            <w:tcW w:w="2867" w:type="pct"/>
            <w:shd w:val="clear" w:color="auto" w:fill="auto"/>
            <w:vAlign w:val="center"/>
          </w:tcPr>
          <w:p w14:paraId="1288261A">
            <w:pPr>
              <w:widowControl/>
              <w:spacing w:line="240" w:lineRule="auto"/>
              <w:jc w:val="center"/>
              <w:rPr>
                <w:rFonts w:ascii="Times New Roman" w:hAnsi="Times New Roman" w:cs="Times New Roman"/>
                <w:sz w:val="24"/>
              </w:rPr>
            </w:pPr>
            <w:r>
              <w:rPr>
                <w:rFonts w:ascii="Times New Roman" w:hAnsi="Times New Roman" w:cs="Times New Roman"/>
                <w:sz w:val="24"/>
              </w:rPr>
              <w:t>AATCAGTAATTGCATTTGTCCACTG</w:t>
            </w:r>
          </w:p>
        </w:tc>
        <w:tc>
          <w:tcPr>
            <w:tcW w:w="744" w:type="pct"/>
            <w:vMerge w:val="continue"/>
            <w:vAlign w:val="center"/>
          </w:tcPr>
          <w:p w14:paraId="0C2A7742">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542DE136">
            <w:pPr>
              <w:widowControl/>
              <w:spacing w:line="240" w:lineRule="auto"/>
              <w:jc w:val="center"/>
              <w:rPr>
                <w:rFonts w:ascii="Times New Roman" w:hAnsi="Times New Roman" w:cs="Times New Roman"/>
                <w:sz w:val="24"/>
              </w:rPr>
            </w:pPr>
          </w:p>
        </w:tc>
      </w:tr>
      <w:tr w14:paraId="231F54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66E9EA69">
            <w:pPr>
              <w:widowControl/>
              <w:spacing w:line="240" w:lineRule="auto"/>
              <w:jc w:val="center"/>
              <w:rPr>
                <w:rFonts w:ascii="Times New Roman" w:hAnsi="Times New Roman" w:cs="Times New Roman"/>
                <w:sz w:val="24"/>
              </w:rPr>
            </w:pPr>
            <w:r>
              <w:rPr>
                <w:rFonts w:ascii="Times New Roman" w:hAnsi="Times New Roman" w:cs="Times New Roman"/>
                <w:sz w:val="24"/>
              </w:rPr>
              <w:t>eno-F</w:t>
            </w:r>
          </w:p>
        </w:tc>
        <w:tc>
          <w:tcPr>
            <w:tcW w:w="2867" w:type="pct"/>
            <w:shd w:val="clear" w:color="auto" w:fill="auto"/>
            <w:vAlign w:val="center"/>
          </w:tcPr>
          <w:p w14:paraId="36D2AFF6">
            <w:pPr>
              <w:widowControl/>
              <w:spacing w:line="240" w:lineRule="auto"/>
              <w:jc w:val="center"/>
              <w:rPr>
                <w:rFonts w:ascii="Times New Roman" w:hAnsi="Times New Roman" w:cs="Times New Roman"/>
                <w:sz w:val="24"/>
              </w:rPr>
            </w:pPr>
            <w:r>
              <w:rPr>
                <w:rFonts w:ascii="Times New Roman" w:hAnsi="Times New Roman" w:cs="Times New Roman"/>
                <w:sz w:val="24"/>
              </w:rPr>
              <w:t>ACGTGCAGCAIGCTGACT</w:t>
            </w:r>
          </w:p>
        </w:tc>
        <w:tc>
          <w:tcPr>
            <w:tcW w:w="744" w:type="pct"/>
            <w:vMerge w:val="restart"/>
            <w:vAlign w:val="center"/>
          </w:tcPr>
          <w:p w14:paraId="4BB546D6">
            <w:pPr>
              <w:widowControl/>
              <w:spacing w:line="240" w:lineRule="auto"/>
              <w:jc w:val="center"/>
              <w:rPr>
                <w:rFonts w:ascii="Times New Roman" w:hAnsi="Times New Roman" w:cs="Times New Roman"/>
                <w:sz w:val="24"/>
              </w:rPr>
            </w:pPr>
            <w:r>
              <w:rPr>
                <w:rFonts w:ascii="Times New Roman" w:hAnsi="Times New Roman" w:cs="Times New Roman"/>
                <w:sz w:val="24"/>
              </w:rPr>
              <w:t>302</w:t>
            </w:r>
          </w:p>
        </w:tc>
        <w:tc>
          <w:tcPr>
            <w:tcW w:w="717" w:type="pct"/>
            <w:vMerge w:val="restart"/>
            <w:shd w:val="clear" w:color="auto" w:fill="auto"/>
            <w:vAlign w:val="center"/>
          </w:tcPr>
          <w:p w14:paraId="046B4AC0">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{"citationID":"DuHzplO1","properties":{"formattedCitation":"[4]","plainCitation":"[4]","noteIndex":0},"citationItems":[{"id":1300,"uris":["http://zotero.org/users/13841690/items/FFRKE9AR"],"itemData":{"id":1300,"type":"article-journal","abstract":"AIMS: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677439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03F5FD84">
            <w:pPr>
              <w:widowControl/>
              <w:spacing w:line="240" w:lineRule="auto"/>
              <w:jc w:val="center"/>
              <w:rPr>
                <w:rFonts w:ascii="Times New Roman" w:hAnsi="Times New Roman" w:cs="Times New Roman"/>
                <w:sz w:val="24"/>
              </w:rPr>
            </w:pPr>
            <w:r>
              <w:rPr>
                <w:rFonts w:ascii="Times New Roman" w:hAnsi="Times New Roman" w:cs="Times New Roman"/>
                <w:sz w:val="24"/>
              </w:rPr>
              <w:t>eno-R</w:t>
            </w:r>
          </w:p>
        </w:tc>
        <w:tc>
          <w:tcPr>
            <w:tcW w:w="2867" w:type="pct"/>
            <w:shd w:val="clear" w:color="auto" w:fill="auto"/>
            <w:vAlign w:val="center"/>
          </w:tcPr>
          <w:p w14:paraId="0F0B5B5E">
            <w:pPr>
              <w:widowControl/>
              <w:spacing w:line="240" w:lineRule="auto"/>
              <w:jc w:val="center"/>
              <w:rPr>
                <w:rFonts w:ascii="Times New Roman" w:hAnsi="Times New Roman" w:cs="Times New Roman"/>
                <w:sz w:val="24"/>
              </w:rPr>
            </w:pPr>
            <w:r>
              <w:rPr>
                <w:rFonts w:ascii="Times New Roman" w:hAnsi="Times New Roman" w:cs="Times New Roman"/>
                <w:sz w:val="24"/>
              </w:rPr>
              <w:t>CAACAGCATYCTTCAGTACCTTC</w:t>
            </w:r>
          </w:p>
        </w:tc>
        <w:tc>
          <w:tcPr>
            <w:tcW w:w="744" w:type="pct"/>
            <w:vMerge w:val="continue"/>
            <w:vAlign w:val="center"/>
          </w:tcPr>
          <w:p w14:paraId="41BCD148">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03B5907A">
            <w:pPr>
              <w:widowControl/>
              <w:spacing w:line="240" w:lineRule="auto"/>
              <w:jc w:val="center"/>
              <w:rPr>
                <w:rFonts w:ascii="Times New Roman" w:hAnsi="Times New Roman" w:cs="Times New Roman"/>
                <w:sz w:val="24"/>
              </w:rPr>
            </w:pPr>
          </w:p>
        </w:tc>
      </w:tr>
      <w:tr w14:paraId="278D89F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70C3C2DA">
            <w:pPr>
              <w:widowControl/>
              <w:spacing w:line="240" w:lineRule="auto"/>
              <w:jc w:val="center"/>
              <w:rPr>
                <w:rFonts w:ascii="Times New Roman" w:hAnsi="Times New Roman" w:cs="Times New Roman"/>
                <w:sz w:val="24"/>
              </w:rPr>
            </w:pPr>
            <w:r>
              <w:rPr>
                <w:rFonts w:ascii="Times New Roman" w:hAnsi="Times New Roman" w:cs="Times New Roman"/>
                <w:sz w:val="24"/>
              </w:rPr>
              <w:t>fib-F</w:t>
            </w:r>
          </w:p>
        </w:tc>
        <w:tc>
          <w:tcPr>
            <w:tcW w:w="2867" w:type="pct"/>
            <w:shd w:val="clear" w:color="auto" w:fill="auto"/>
            <w:vAlign w:val="center"/>
          </w:tcPr>
          <w:p w14:paraId="2117172A">
            <w:pPr>
              <w:widowControl/>
              <w:spacing w:line="240" w:lineRule="auto"/>
              <w:jc w:val="center"/>
              <w:rPr>
                <w:rFonts w:ascii="Times New Roman" w:hAnsi="Times New Roman" w:cs="Times New Roman"/>
                <w:sz w:val="24"/>
              </w:rPr>
            </w:pPr>
            <w:r>
              <w:rPr>
                <w:rFonts w:ascii="Times New Roman" w:hAnsi="Times New Roman" w:cs="Times New Roman"/>
                <w:sz w:val="24"/>
              </w:rPr>
              <w:t xml:space="preserve">CTACAACTACAATTGCCGTCAACAG </w:t>
            </w:r>
          </w:p>
        </w:tc>
        <w:tc>
          <w:tcPr>
            <w:tcW w:w="744" w:type="pct"/>
            <w:vMerge w:val="restart"/>
            <w:vAlign w:val="center"/>
          </w:tcPr>
          <w:p w14:paraId="0DE06460">
            <w:pPr>
              <w:widowControl/>
              <w:spacing w:line="240" w:lineRule="auto"/>
              <w:jc w:val="center"/>
              <w:rPr>
                <w:rFonts w:ascii="Times New Roman" w:hAnsi="Times New Roman" w:cs="Times New Roman"/>
                <w:sz w:val="24"/>
              </w:rPr>
            </w:pPr>
            <w:r>
              <w:rPr>
                <w:rFonts w:ascii="Times New Roman" w:hAnsi="Times New Roman" w:cs="Times New Roman"/>
                <w:sz w:val="24"/>
              </w:rPr>
              <w:t>404</w:t>
            </w:r>
          </w:p>
        </w:tc>
        <w:tc>
          <w:tcPr>
            <w:tcW w:w="717" w:type="pct"/>
            <w:vMerge w:val="restart"/>
            <w:shd w:val="clear" w:color="auto" w:fill="auto"/>
            <w:vAlign w:val="center"/>
          </w:tcPr>
          <w:p w14:paraId="7477809A">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{"citationID":"UGFoEOu3","properties":{"formattedCitation":"[4]","plainCitation":"[4]","noteIndex":0},"citationItems":[{"id":1300,"uris":["http://zotero.org/users/13841690/items/FFRKE9AR"],"itemData":{"id":1300,"type":"article-journal","abstract":"AIMS: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38E8240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7BF25923">
            <w:pPr>
              <w:widowControl/>
              <w:spacing w:line="240" w:lineRule="auto"/>
              <w:jc w:val="center"/>
              <w:rPr>
                <w:rFonts w:ascii="Times New Roman" w:hAnsi="Times New Roman" w:cs="Times New Roman"/>
                <w:sz w:val="24"/>
              </w:rPr>
            </w:pPr>
            <w:r>
              <w:rPr>
                <w:rFonts w:ascii="Times New Roman" w:hAnsi="Times New Roman" w:cs="Times New Roman"/>
                <w:sz w:val="24"/>
              </w:rPr>
              <w:t>fib-R</w:t>
            </w:r>
          </w:p>
        </w:tc>
        <w:tc>
          <w:tcPr>
            <w:tcW w:w="2867" w:type="pct"/>
            <w:shd w:val="clear" w:color="auto" w:fill="auto"/>
            <w:vAlign w:val="center"/>
          </w:tcPr>
          <w:p w14:paraId="1B528B74">
            <w:pPr>
              <w:widowControl/>
              <w:spacing w:line="240" w:lineRule="auto"/>
              <w:jc w:val="center"/>
              <w:rPr>
                <w:rFonts w:ascii="Times New Roman" w:hAnsi="Times New Roman" w:cs="Times New Roman"/>
                <w:sz w:val="24"/>
              </w:rPr>
            </w:pPr>
            <w:r>
              <w:rPr>
                <w:rFonts w:ascii="Times New Roman" w:hAnsi="Times New Roman" w:cs="Times New Roman"/>
                <w:sz w:val="24"/>
              </w:rPr>
              <w:t>GCTCTTGTAAGACCATTTTCTTCAC</w:t>
            </w:r>
          </w:p>
        </w:tc>
        <w:tc>
          <w:tcPr>
            <w:tcW w:w="744" w:type="pct"/>
            <w:vMerge w:val="continue"/>
            <w:vAlign w:val="center"/>
          </w:tcPr>
          <w:p w14:paraId="48BC9ECE">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0725317C">
            <w:pPr>
              <w:widowControl/>
              <w:spacing w:line="240" w:lineRule="auto"/>
              <w:jc w:val="center"/>
              <w:rPr>
                <w:rFonts w:ascii="Times New Roman" w:hAnsi="Times New Roman" w:cs="Times New Roman"/>
                <w:sz w:val="24"/>
              </w:rPr>
            </w:pPr>
          </w:p>
        </w:tc>
      </w:tr>
      <w:tr w14:paraId="0098FD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3CBC2E43">
            <w:pPr>
              <w:widowControl/>
              <w:spacing w:line="240" w:lineRule="auto"/>
              <w:jc w:val="center"/>
              <w:rPr>
                <w:rFonts w:ascii="Times New Roman" w:hAnsi="Times New Roman" w:cs="Times New Roman"/>
                <w:sz w:val="24"/>
              </w:rPr>
            </w:pPr>
            <w:r>
              <w:rPr>
                <w:rFonts w:ascii="Times New Roman" w:hAnsi="Times New Roman" w:cs="Times New Roman"/>
                <w:sz w:val="24"/>
              </w:rPr>
              <w:t>epbs-F</w:t>
            </w:r>
          </w:p>
        </w:tc>
        <w:tc>
          <w:tcPr>
            <w:tcW w:w="2867" w:type="pct"/>
            <w:shd w:val="clear" w:color="auto" w:fill="auto"/>
            <w:vAlign w:val="center"/>
          </w:tcPr>
          <w:p w14:paraId="1A479FE0">
            <w:pPr>
              <w:widowControl/>
              <w:spacing w:line="240" w:lineRule="auto"/>
              <w:jc w:val="center"/>
              <w:rPr>
                <w:rFonts w:ascii="Times New Roman" w:hAnsi="Times New Roman" w:cs="Times New Roman"/>
                <w:sz w:val="24"/>
              </w:rPr>
            </w:pPr>
            <w:r>
              <w:rPr>
                <w:rFonts w:ascii="Times New Roman" w:hAnsi="Times New Roman" w:cs="Times New Roman"/>
                <w:sz w:val="24"/>
              </w:rPr>
              <w:t>AGAATGCTTTTGCAATGGAT</w:t>
            </w:r>
          </w:p>
        </w:tc>
        <w:tc>
          <w:tcPr>
            <w:tcW w:w="744" w:type="pct"/>
            <w:vMerge w:val="restart"/>
            <w:vAlign w:val="center"/>
          </w:tcPr>
          <w:p w14:paraId="48CD1E8E">
            <w:pPr>
              <w:widowControl/>
              <w:spacing w:line="240" w:lineRule="auto"/>
              <w:jc w:val="center"/>
              <w:rPr>
                <w:rFonts w:ascii="Times New Roman" w:hAnsi="Times New Roman" w:cs="Times New Roman"/>
                <w:sz w:val="24"/>
              </w:rPr>
            </w:pPr>
            <w:r>
              <w:rPr>
                <w:rFonts w:ascii="Times New Roman" w:hAnsi="Times New Roman" w:cs="Times New Roman"/>
                <w:sz w:val="24"/>
              </w:rPr>
              <w:t>652</w:t>
            </w:r>
          </w:p>
        </w:tc>
        <w:tc>
          <w:tcPr>
            <w:tcW w:w="717" w:type="pct"/>
            <w:vMerge w:val="restart"/>
            <w:shd w:val="clear" w:color="auto" w:fill="auto"/>
            <w:vAlign w:val="center"/>
          </w:tcPr>
          <w:p w14:paraId="001A00B0">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{"citationID":"NcvbZFo2","properties":{"formattedCitation":"[4]","plainCitation":"[4]","noteIndex":0},"citationItems":[{"id":1300,"uris":["http://zotero.org/users/13841690/items/FFRKE9AR"],"itemData":{"id":1300,"type":"article-journal","abstract":"AIMS: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1FADB3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0851A04D">
            <w:pPr>
              <w:widowControl/>
              <w:spacing w:line="240" w:lineRule="auto"/>
              <w:jc w:val="center"/>
              <w:rPr>
                <w:rFonts w:ascii="Times New Roman" w:hAnsi="Times New Roman" w:cs="Times New Roman"/>
                <w:sz w:val="24"/>
              </w:rPr>
            </w:pPr>
            <w:r>
              <w:rPr>
                <w:rFonts w:ascii="Times New Roman" w:hAnsi="Times New Roman" w:cs="Times New Roman"/>
                <w:sz w:val="24"/>
              </w:rPr>
              <w:t>epbs-R</w:t>
            </w:r>
          </w:p>
        </w:tc>
        <w:tc>
          <w:tcPr>
            <w:tcW w:w="2867" w:type="pct"/>
            <w:shd w:val="clear" w:color="auto" w:fill="auto"/>
            <w:vAlign w:val="center"/>
          </w:tcPr>
          <w:p w14:paraId="3E7F64DB">
            <w:pPr>
              <w:widowControl/>
              <w:spacing w:line="240" w:lineRule="auto"/>
              <w:jc w:val="center"/>
              <w:rPr>
                <w:rFonts w:ascii="Times New Roman" w:hAnsi="Times New Roman" w:cs="Times New Roman"/>
                <w:sz w:val="24"/>
              </w:rPr>
            </w:pPr>
            <w:r>
              <w:rPr>
                <w:rFonts w:ascii="Times New Roman" w:hAnsi="Times New Roman" w:cs="Times New Roman"/>
                <w:sz w:val="24"/>
              </w:rPr>
              <w:t>AATATCGCTAATGCACCGAT</w:t>
            </w:r>
          </w:p>
        </w:tc>
        <w:tc>
          <w:tcPr>
            <w:tcW w:w="744" w:type="pct"/>
            <w:vMerge w:val="continue"/>
            <w:vAlign w:val="center"/>
          </w:tcPr>
          <w:p w14:paraId="384CEB2B">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79E6A0A4">
            <w:pPr>
              <w:widowControl/>
              <w:spacing w:line="240" w:lineRule="auto"/>
              <w:jc w:val="center"/>
              <w:rPr>
                <w:rFonts w:ascii="Times New Roman" w:hAnsi="Times New Roman" w:cs="Times New Roman"/>
                <w:sz w:val="24"/>
              </w:rPr>
            </w:pPr>
          </w:p>
        </w:tc>
      </w:tr>
      <w:tr w14:paraId="202A10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65CB51EB">
            <w:pPr>
              <w:widowControl/>
              <w:spacing w:line="240" w:lineRule="auto"/>
              <w:jc w:val="center"/>
              <w:rPr>
                <w:rFonts w:ascii="Times New Roman" w:hAnsi="Times New Roman" w:cs="Times New Roman"/>
                <w:sz w:val="24"/>
              </w:rPr>
            </w:pPr>
            <w:r>
              <w:rPr>
                <w:rFonts w:ascii="Times New Roman" w:hAnsi="Times New Roman" w:cs="Times New Roman"/>
                <w:sz w:val="24"/>
              </w:rPr>
              <w:t>sdrC-F</w:t>
            </w:r>
          </w:p>
        </w:tc>
        <w:tc>
          <w:tcPr>
            <w:tcW w:w="2867" w:type="pct"/>
            <w:shd w:val="clear" w:color="auto" w:fill="auto"/>
            <w:vAlign w:val="center"/>
          </w:tcPr>
          <w:p w14:paraId="44129537">
            <w:pPr>
              <w:widowControl/>
              <w:spacing w:line="240" w:lineRule="auto"/>
              <w:jc w:val="center"/>
              <w:rPr>
                <w:rFonts w:ascii="Times New Roman" w:hAnsi="Times New Roman" w:cs="Times New Roman"/>
                <w:sz w:val="24"/>
              </w:rPr>
            </w:pPr>
            <w:r>
              <w:rPr>
                <w:rFonts w:ascii="Times New Roman" w:hAnsi="Times New Roman" w:cs="Times New Roman"/>
                <w:sz w:val="24"/>
              </w:rPr>
              <w:t>ACGACTATTAAACCAAGAAC</w:t>
            </w:r>
          </w:p>
        </w:tc>
        <w:tc>
          <w:tcPr>
            <w:tcW w:w="744" w:type="pct"/>
            <w:vMerge w:val="restart"/>
            <w:vAlign w:val="center"/>
          </w:tcPr>
          <w:p w14:paraId="17F32797">
            <w:pPr>
              <w:widowControl/>
              <w:spacing w:line="240" w:lineRule="auto"/>
              <w:jc w:val="center"/>
              <w:rPr>
                <w:rFonts w:ascii="Times New Roman" w:hAnsi="Times New Roman" w:cs="Times New Roman"/>
                <w:sz w:val="24"/>
              </w:rPr>
            </w:pPr>
            <w:r>
              <w:rPr>
                <w:rFonts w:ascii="Times New Roman" w:hAnsi="Times New Roman" w:cs="Times New Roman"/>
                <w:sz w:val="24"/>
              </w:rPr>
              <w:t>560</w:t>
            </w:r>
          </w:p>
        </w:tc>
        <w:tc>
          <w:tcPr>
            <w:tcW w:w="717" w:type="pct"/>
            <w:vMerge w:val="restart"/>
            <w:shd w:val="clear" w:color="auto" w:fill="auto"/>
            <w:vAlign w:val="center"/>
          </w:tcPr>
          <w:p w14:paraId="66427FB4">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{"citationID":"bq5WH2p7","properties":{"formattedCitation":"[4]","plainCitation":"[4]","noteIndex":0},"citationItems":[{"id":1300,"uris":["http://zotero.org/users/13841690/items/FFRKE9AR"],"itemData":{"id":1300,"type":"article-journal","abstract":"AIMS: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7A5748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08D75912">
            <w:pPr>
              <w:widowControl/>
              <w:spacing w:line="240" w:lineRule="auto"/>
              <w:jc w:val="center"/>
              <w:rPr>
                <w:rFonts w:ascii="Times New Roman" w:hAnsi="Times New Roman" w:cs="Times New Roman"/>
                <w:sz w:val="24"/>
              </w:rPr>
            </w:pPr>
            <w:r>
              <w:rPr>
                <w:rFonts w:ascii="Times New Roman" w:hAnsi="Times New Roman" w:cs="Times New Roman"/>
                <w:sz w:val="24"/>
              </w:rPr>
              <w:t>sdrC-R</w:t>
            </w:r>
          </w:p>
        </w:tc>
        <w:tc>
          <w:tcPr>
            <w:tcW w:w="2867" w:type="pct"/>
            <w:shd w:val="clear" w:color="auto" w:fill="auto"/>
            <w:vAlign w:val="center"/>
          </w:tcPr>
          <w:p w14:paraId="4880B146">
            <w:pPr>
              <w:widowControl/>
              <w:spacing w:line="240" w:lineRule="auto"/>
              <w:jc w:val="center"/>
              <w:rPr>
                <w:rFonts w:ascii="Times New Roman" w:hAnsi="Times New Roman" w:cs="Times New Roman"/>
                <w:sz w:val="24"/>
              </w:rPr>
            </w:pPr>
            <w:r>
              <w:rPr>
                <w:rFonts w:ascii="Times New Roman" w:hAnsi="Times New Roman" w:cs="Times New Roman"/>
                <w:sz w:val="24"/>
              </w:rPr>
              <w:t>GTACTTGAAATAAGCGGTTG</w:t>
            </w:r>
          </w:p>
        </w:tc>
        <w:tc>
          <w:tcPr>
            <w:tcW w:w="744" w:type="pct"/>
            <w:vMerge w:val="continue"/>
            <w:vAlign w:val="center"/>
          </w:tcPr>
          <w:p w14:paraId="0C1DAAF1">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6933913A">
            <w:pPr>
              <w:widowControl/>
              <w:spacing w:line="240" w:lineRule="auto"/>
              <w:jc w:val="center"/>
              <w:rPr>
                <w:rFonts w:ascii="Times New Roman" w:hAnsi="Times New Roman" w:cs="Times New Roman"/>
                <w:sz w:val="24"/>
              </w:rPr>
            </w:pPr>
          </w:p>
        </w:tc>
      </w:tr>
      <w:tr w14:paraId="4B072CA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017E3B00">
            <w:pPr>
              <w:widowControl/>
              <w:spacing w:line="240" w:lineRule="auto"/>
              <w:jc w:val="center"/>
              <w:rPr>
                <w:rFonts w:ascii="Times New Roman" w:hAnsi="Times New Roman" w:cs="Times New Roman"/>
                <w:sz w:val="24"/>
              </w:rPr>
            </w:pPr>
            <w:r>
              <w:rPr>
                <w:rFonts w:ascii="Times New Roman" w:hAnsi="Times New Roman" w:cs="Times New Roman"/>
                <w:sz w:val="24"/>
              </w:rPr>
              <w:t>sdrD-F</w:t>
            </w:r>
          </w:p>
        </w:tc>
        <w:tc>
          <w:tcPr>
            <w:tcW w:w="2867" w:type="pct"/>
            <w:shd w:val="clear" w:color="auto" w:fill="auto"/>
            <w:vAlign w:val="center"/>
          </w:tcPr>
          <w:p w14:paraId="62AA0DF2">
            <w:pPr>
              <w:widowControl/>
              <w:spacing w:line="240" w:lineRule="auto"/>
              <w:jc w:val="center"/>
              <w:rPr>
                <w:rFonts w:ascii="Times New Roman" w:hAnsi="Times New Roman" w:cs="Times New Roman"/>
                <w:sz w:val="24"/>
              </w:rPr>
            </w:pPr>
            <w:r>
              <w:rPr>
                <w:rFonts w:ascii="Times New Roman" w:hAnsi="Times New Roman" w:cs="Times New Roman"/>
                <w:sz w:val="24"/>
              </w:rPr>
              <w:t>GGAATAAAGTTGAAGTTTC</w:t>
            </w:r>
          </w:p>
        </w:tc>
        <w:tc>
          <w:tcPr>
            <w:tcW w:w="744" w:type="pct"/>
            <w:vMerge w:val="restart"/>
            <w:vAlign w:val="center"/>
          </w:tcPr>
          <w:p w14:paraId="30E5D76E">
            <w:pPr>
              <w:widowControl/>
              <w:spacing w:line="240" w:lineRule="auto"/>
              <w:jc w:val="center"/>
              <w:rPr>
                <w:rFonts w:ascii="Times New Roman" w:hAnsi="Times New Roman" w:cs="Times New Roman"/>
                <w:sz w:val="24"/>
              </w:rPr>
            </w:pPr>
            <w:r>
              <w:rPr>
                <w:rFonts w:ascii="Times New Roman" w:hAnsi="Times New Roman" w:cs="Times New Roman"/>
                <w:sz w:val="24"/>
              </w:rPr>
              <w:t>500</w:t>
            </w:r>
          </w:p>
        </w:tc>
        <w:tc>
          <w:tcPr>
            <w:tcW w:w="717" w:type="pct"/>
            <w:vMerge w:val="restart"/>
            <w:shd w:val="clear" w:color="auto" w:fill="auto"/>
            <w:vAlign w:val="center"/>
          </w:tcPr>
          <w:p w14:paraId="7C866615">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{"citationID":"AN4WuJ3q","properties":{"formattedCitation":"[4]","plainCitation":"[4]","noteIndex":0},"citationItems":[{"id":1300,"uris":["http://zotero.org/users/13841690/items/FFRKE9AR"],"itemData":{"id":1300,"type":"article-journal","abstract":"AIMS: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29B1F1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6D48508A">
            <w:pPr>
              <w:widowControl/>
              <w:spacing w:line="240" w:lineRule="auto"/>
              <w:jc w:val="center"/>
              <w:rPr>
                <w:rFonts w:ascii="Times New Roman" w:hAnsi="Times New Roman" w:cs="Times New Roman"/>
                <w:sz w:val="24"/>
              </w:rPr>
            </w:pPr>
            <w:r>
              <w:rPr>
                <w:rFonts w:ascii="Times New Roman" w:hAnsi="Times New Roman" w:cs="Times New Roman"/>
                <w:sz w:val="24"/>
              </w:rPr>
              <w:t>sdrD-R</w:t>
            </w:r>
          </w:p>
        </w:tc>
        <w:tc>
          <w:tcPr>
            <w:tcW w:w="2867" w:type="pct"/>
            <w:shd w:val="clear" w:color="auto" w:fill="auto"/>
            <w:vAlign w:val="center"/>
          </w:tcPr>
          <w:p w14:paraId="0A46AA7C">
            <w:pPr>
              <w:widowControl/>
              <w:spacing w:line="240" w:lineRule="auto"/>
              <w:jc w:val="center"/>
              <w:rPr>
                <w:rFonts w:ascii="Times New Roman" w:hAnsi="Times New Roman" w:cs="Times New Roman"/>
                <w:sz w:val="24"/>
              </w:rPr>
            </w:pPr>
            <w:r>
              <w:rPr>
                <w:rFonts w:ascii="Times New Roman" w:hAnsi="Times New Roman" w:cs="Times New Roman"/>
                <w:sz w:val="24"/>
              </w:rPr>
              <w:t>ACTTTGTCATCAACTGTAAT</w:t>
            </w:r>
          </w:p>
        </w:tc>
        <w:tc>
          <w:tcPr>
            <w:tcW w:w="744" w:type="pct"/>
            <w:vMerge w:val="continue"/>
            <w:vAlign w:val="center"/>
          </w:tcPr>
          <w:p w14:paraId="5406FD56">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2B319F1D">
            <w:pPr>
              <w:widowControl/>
              <w:spacing w:line="240" w:lineRule="auto"/>
              <w:jc w:val="center"/>
              <w:rPr>
                <w:rFonts w:ascii="Times New Roman" w:hAnsi="Times New Roman" w:cs="Times New Roman"/>
                <w:sz w:val="24"/>
              </w:rPr>
            </w:pPr>
          </w:p>
        </w:tc>
      </w:tr>
      <w:tr w14:paraId="08FC81E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2A83FC88">
            <w:pPr>
              <w:widowControl/>
              <w:spacing w:line="240" w:lineRule="auto"/>
              <w:jc w:val="center"/>
              <w:rPr>
                <w:rFonts w:ascii="Times New Roman" w:hAnsi="Times New Roman" w:cs="Times New Roman"/>
                <w:sz w:val="24"/>
              </w:rPr>
            </w:pPr>
            <w:r>
              <w:rPr>
                <w:rFonts w:ascii="Times New Roman" w:hAnsi="Times New Roman" w:cs="Times New Roman"/>
                <w:sz w:val="24"/>
              </w:rPr>
              <w:t>sdrE-F</w:t>
            </w:r>
          </w:p>
        </w:tc>
        <w:tc>
          <w:tcPr>
            <w:tcW w:w="2867" w:type="pct"/>
            <w:shd w:val="clear" w:color="auto" w:fill="auto"/>
            <w:vAlign w:val="center"/>
          </w:tcPr>
          <w:p w14:paraId="247BBF28">
            <w:pPr>
              <w:widowControl/>
              <w:spacing w:line="240" w:lineRule="auto"/>
              <w:jc w:val="center"/>
              <w:rPr>
                <w:rFonts w:ascii="Times New Roman" w:hAnsi="Times New Roman" w:cs="Times New Roman"/>
                <w:sz w:val="24"/>
              </w:rPr>
            </w:pPr>
            <w:r>
              <w:rPr>
                <w:rFonts w:ascii="Times New Roman" w:hAnsi="Times New Roman" w:cs="Times New Roman"/>
                <w:sz w:val="24"/>
              </w:rPr>
              <w:t>CAGTAAATGTGTCAAAAGA</w:t>
            </w:r>
          </w:p>
        </w:tc>
        <w:tc>
          <w:tcPr>
            <w:tcW w:w="744" w:type="pct"/>
            <w:vMerge w:val="restart"/>
            <w:vAlign w:val="center"/>
          </w:tcPr>
          <w:p w14:paraId="3A611B87">
            <w:pPr>
              <w:widowControl/>
              <w:spacing w:line="240" w:lineRule="auto"/>
              <w:jc w:val="center"/>
              <w:rPr>
                <w:rFonts w:ascii="Times New Roman" w:hAnsi="Times New Roman" w:cs="Times New Roman"/>
                <w:sz w:val="24"/>
              </w:rPr>
            </w:pPr>
            <w:r>
              <w:rPr>
                <w:rFonts w:ascii="Times New Roman" w:hAnsi="Times New Roman" w:cs="Times New Roman"/>
                <w:sz w:val="24"/>
              </w:rPr>
              <w:t>767</w:t>
            </w:r>
          </w:p>
        </w:tc>
        <w:tc>
          <w:tcPr>
            <w:tcW w:w="717" w:type="pct"/>
            <w:vMerge w:val="restart"/>
            <w:shd w:val="clear" w:color="auto" w:fill="auto"/>
            <w:vAlign w:val="center"/>
          </w:tcPr>
          <w:p w14:paraId="3A69D426">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{"citationID":"ubUyKRTg","properties":{"formattedCitation":"[4]","plainCitation":"[4]","noteIndex":0},"citationItems":[{"id":1300,"uris":["http://zotero.org/users/13841690/items/FFRKE9AR"],"itemData":{"id":1300,"type":"article-journal","abstract":"AIMS: To perform a phenotypic and genotypic characterization of 258 Staphylococcus aureus isolates from clinical ovine mastitis and used for the preparation of inactivated autogenous vaccines.\nMETHODS AND RESULTS: The potential for biofilm production was determined by phenotypic test of Congo Red Agar (CRA) and by PCR for the detection of icaA/D genes. Isolates were also screened by PCR for the presence of enterotoxins (sea, seb, sec, sed and see), toxic shock syndrome toxin (tsst), leukotoxins (lukD-E, lukM and lukPV83), haemolysins (hly-β and hly-γ), autolysin (atlA) genes and encoding microbial surface components recognizing adhesive matrix molecules (MSCRAMMs: clfA, clfB, fnbA, fnbB, bbp, cna, eno, fib, epbs, sdrC, sdrD and SdrE). None of the 258 isolates showed biofilm-forming ability on CRA and harboured icaA/D genes. The most frequent pyrogenic toxin superantigen genes amplified were sec plus tsst-1, which were found strictly in combination with 71·3% of the Staph. aureus isolates tested. None of the isolates harboured the genes encoding sea and see. Of the 258 isolates tested, 159 (61·6%) possessed all lukD-E/lukM/lukPV83 genes, 123 (47·7%) harboured both hly-β/hly-γ genes, whereas almost all (97·3%) were PCR positive for atlA gene. With respect to adhesion determinants, 179 (69·4%) isolates presented simultaneously four genes (fnbA, fib, clfA and clfB) for fibronectin- and fibrinogen-binding proteins.\nCONCLUSIONS: In this search, several putative virulence determinants have been identified in ovine Staph. aureus isolates collected in Sardinia.\nSIGNIFICANCE AND IMPACT OF THE STUDY: Some of the putative virulence determinants could be considered as components of a vaccine because of their role in ovine mastitis pathogenesis.","container-title":"Journal of Applied Microbiology","DOI":"10.1111/jam.13502","ISSN":"1365-2672","issue":"2","journalAbbreviation":"J. Appl. Microbiol.","language":"eng","note":"PMID: 28561911\ntitleTranslation: 绵羊乳房炎金黄色葡萄球菌分离株的生物被膜形成及毒力因子分析\nJCR分区: Q2\n中科院分区升级版: 生物学3区\n影响因子: 3.2\n5年影响因子: 4.0\nEI: 是\n南农高质量: B","page":"372-379","source":"PubMed","title":"Biofilm formation and virulence factor analysis of Staphylococcus aureus isolates collected from ovine mastitis","volume":"123","author":[{"family":"Azara","given":"E."},{"family":"Longheu","given":"C."},{"family":"Sanna","given":"G."},{"family":"Tola","given":"S."}],"issued":{"date-parts":[["2017",8]]}}}],"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[4]</w:t>
            </w:r>
            <w:r>
              <w:rPr>
                <w:rFonts w:ascii="Times New Roman" w:hAnsi="Times New Roman" w:cs="Times New Roman"/>
                <w:sz w:val="24"/>
              </w:rPr>
              <w:fldChar w:fldCharType="end"/>
            </w:r>
          </w:p>
        </w:tc>
      </w:tr>
      <w:tr w14:paraId="6EB928B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5A117647">
            <w:pPr>
              <w:widowControl/>
              <w:spacing w:line="240" w:lineRule="auto"/>
              <w:jc w:val="center"/>
              <w:rPr>
                <w:rFonts w:ascii="Times New Roman" w:hAnsi="Times New Roman" w:cs="Times New Roman"/>
                <w:sz w:val="24"/>
              </w:rPr>
            </w:pPr>
            <w:r>
              <w:rPr>
                <w:rFonts w:ascii="Times New Roman" w:hAnsi="Times New Roman" w:cs="Times New Roman"/>
                <w:sz w:val="24"/>
              </w:rPr>
              <w:t>sdrE-R</w:t>
            </w:r>
          </w:p>
        </w:tc>
        <w:tc>
          <w:tcPr>
            <w:tcW w:w="2867" w:type="pct"/>
            <w:shd w:val="clear" w:color="auto" w:fill="auto"/>
            <w:vAlign w:val="center"/>
          </w:tcPr>
          <w:p w14:paraId="6AF3746E">
            <w:pPr>
              <w:widowControl/>
              <w:spacing w:line="240" w:lineRule="auto"/>
              <w:jc w:val="center"/>
              <w:rPr>
                <w:rFonts w:ascii="Times New Roman" w:hAnsi="Times New Roman" w:cs="Times New Roman"/>
                <w:sz w:val="24"/>
              </w:rPr>
            </w:pPr>
            <w:r>
              <w:rPr>
                <w:rFonts w:ascii="Times New Roman" w:hAnsi="Times New Roman" w:cs="Times New Roman"/>
                <w:sz w:val="24"/>
              </w:rPr>
              <w:t>TTGACTACCAGCTATATC</w:t>
            </w:r>
          </w:p>
        </w:tc>
        <w:tc>
          <w:tcPr>
            <w:tcW w:w="744" w:type="pct"/>
            <w:vMerge w:val="continue"/>
            <w:vAlign w:val="center"/>
          </w:tcPr>
          <w:p w14:paraId="18C69CB8">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167702F5">
            <w:pPr>
              <w:widowControl/>
              <w:spacing w:line="240" w:lineRule="auto"/>
              <w:jc w:val="center"/>
              <w:rPr>
                <w:rFonts w:ascii="Times New Roman" w:hAnsi="Times New Roman" w:cs="Times New Roman"/>
                <w:sz w:val="24"/>
              </w:rPr>
            </w:pPr>
          </w:p>
        </w:tc>
      </w:tr>
      <w:tr w14:paraId="7E3844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505D2CFC">
            <w:pPr>
              <w:widowControl/>
              <w:spacing w:line="240" w:lineRule="auto"/>
              <w:jc w:val="center"/>
              <w:rPr>
                <w:rFonts w:ascii="Times New Roman" w:hAnsi="Times New Roman" w:cs="Times New Roman"/>
                <w:sz w:val="24"/>
              </w:rPr>
            </w:pPr>
            <w:r>
              <w:rPr>
                <w:rFonts w:ascii="Times New Roman" w:hAnsi="Times New Roman" w:cs="Times New Roman"/>
                <w:sz w:val="24"/>
              </w:rPr>
              <w:t>eta-F</w:t>
            </w:r>
          </w:p>
        </w:tc>
        <w:tc>
          <w:tcPr>
            <w:tcW w:w="2867" w:type="pct"/>
            <w:shd w:val="clear" w:color="auto" w:fill="auto"/>
            <w:vAlign w:val="center"/>
          </w:tcPr>
          <w:p w14:paraId="2193944B">
            <w:pPr>
              <w:widowControl/>
              <w:spacing w:line="240" w:lineRule="auto"/>
              <w:jc w:val="center"/>
              <w:rPr>
                <w:rFonts w:ascii="Times New Roman" w:hAnsi="Times New Roman" w:cs="Times New Roman"/>
                <w:sz w:val="24"/>
              </w:rPr>
            </w:pPr>
            <w:r>
              <w:rPr>
                <w:rFonts w:ascii="Times New Roman" w:hAnsi="Times New Roman" w:cs="Times New Roman"/>
                <w:sz w:val="24"/>
              </w:rPr>
              <w:t>ACTGTAGGAGCTAGTGCATTTGT</w:t>
            </w:r>
          </w:p>
        </w:tc>
        <w:tc>
          <w:tcPr>
            <w:tcW w:w="744" w:type="pct"/>
            <w:vMerge w:val="restart"/>
            <w:vAlign w:val="center"/>
          </w:tcPr>
          <w:p w14:paraId="35ACC56F">
            <w:pPr>
              <w:widowControl/>
              <w:spacing w:line="240" w:lineRule="auto"/>
              <w:jc w:val="center"/>
              <w:rPr>
                <w:rFonts w:ascii="Times New Roman" w:hAnsi="Times New Roman" w:cs="Times New Roman"/>
                <w:sz w:val="24"/>
              </w:rPr>
            </w:pPr>
            <w:r>
              <w:rPr>
                <w:rFonts w:ascii="Times New Roman" w:hAnsi="Times New Roman" w:cs="Times New Roman"/>
                <w:sz w:val="24"/>
              </w:rPr>
              <w:t>190</w:t>
            </w:r>
          </w:p>
        </w:tc>
        <w:tc>
          <w:tcPr>
            <w:tcW w:w="717" w:type="pct"/>
            <w:vMerge w:val="restart"/>
            <w:shd w:val="clear" w:color="auto" w:fill="auto"/>
            <w:vAlign w:val="center"/>
          </w:tcPr>
          <w:p w14:paraId="401EF20A">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{"citationID":"WNI8wflB","properties":{"formattedCitation":"[7]","plainCitation":"[7]","noteIndex":0},"citationItems":[{"id":1891,"uris":["http://zotero.org/users/13841690/items/3TNHH3TF"],"itemData":{"id":1891,"type":"article-journal","abstract":"The expression of most Staphylococcus aureus virulence factors is controlled by the agr locus, which encodes a two-component signaling pathway whose activating ligand is an agr-encoded autoinducing peptide (AIP). A polymorphism in the amino acid sequence of the AIP and of its corresponding receptor divides S. aureus strains into four major groups. Within a given group, each strain produces a peptide that can activate the agr response in the other member strains, whereas the AIPs belonging to different groups are usually mutually inhibitory. We investigated a possible relationship between agr groups and human S. aureus disease by studying 198 S. aureus strains isolated from 14 asymptomatic carriers, 66 patients with suppurative infection, and 114 patients with acute toxemia. The agr group and the distribution of 24 toxin genes were analyzed by PCR, and the genetic background was determined by means of amplified fragment length polymorphism (AFLP) analysis. The isolates were relatively evenly distributed among the four agrgroups, with 61 strains belonging to agr group I, 49 belonging to group II, 43 belonging to group III, and 45 belonging to group IV. Principal coordinate analysis performed on the AFLP distance matrix divided the 198 strains into three main phylogenetic groups, AF1 corresponding to strains of agr group IV, AF2 corresponding to strains of agr groups I and II, and AF3 corresponding to strains of agr group III. This indicated that the agr type was linked to the genetic background. A relationship between genetic background, agr group, and disease type was observed for several toxin-mediated diseases: for instance, agr group IV strains were associated with generalized exfoliative syndromes, and phylogenetic group AF1 strains with bullous impetigo. Among the suppurative infections, endocarditis strains mainly belonged to phylogenetic group AF2 and agr groups I and II. While these results do not show a direct role of the agr type in the type of human disease caused by S. aureus, the agr group may reflect an ancient evolutionary division of S. aureus in terms of this species' fundamental biology.","container-title":"Infection and Immunity","DOI":"10.1128/IAI.70.2.631-641.2002","ISSN":"0019-9567","issue":"2","journalAbbreviation":"Infect Immun","language":"eng","note":"PMID: 11796592\nPMCID: PMC127674\ntitleTranslation: 金黄色葡萄球菌遗传背景、毒力因子、agr类群(等位基因)与人类疾病的关系\nJCR分区: Q2\n中科院分区升级版: 医学3区\n影响因子: 2.9\n5年影响因子: 3.1\n南农高质量: B","page":"631-641","source":"PubMed","title":"Relationships between Staphylococcus aureus genetic background, virulence factors, agr groups (alleles), and human disease","volume":"70","author":[{"family":"Jarraud","given":"Sophie"},{"family":"Mougel","given":"Christophe"},{"family":"Thioulouse","given":"Jean"},{"family":"Lina","given":"Gerard"},{"family":"Meugnier","given":"Hélène"},{"family":"Forey","given":"Françoise"},{"family":"Nesme","given":"Xavier"},{"family":"Etienne","given":"Jerome"},{"family":"Vandenesch","given":"François"}],"issued":{"date-parts":[["2002",2]]}}}],"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[7]</w:t>
            </w:r>
            <w:r>
              <w:rPr>
                <w:rFonts w:ascii="Times New Roman" w:hAnsi="Times New Roman" w:cs="Times New Roman"/>
                <w:sz w:val="24"/>
              </w:rPr>
              <w:fldChar w:fldCharType="end"/>
            </w:r>
          </w:p>
        </w:tc>
      </w:tr>
      <w:tr w14:paraId="7054151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4FB2286E">
            <w:pPr>
              <w:widowControl/>
              <w:spacing w:line="240" w:lineRule="auto"/>
              <w:jc w:val="center"/>
              <w:rPr>
                <w:rFonts w:ascii="Times New Roman" w:hAnsi="Times New Roman" w:cs="Times New Roman"/>
                <w:sz w:val="24"/>
              </w:rPr>
            </w:pPr>
            <w:r>
              <w:rPr>
                <w:rFonts w:ascii="Times New Roman" w:hAnsi="Times New Roman" w:cs="Times New Roman"/>
                <w:sz w:val="24"/>
              </w:rPr>
              <w:t>eta-R</w:t>
            </w:r>
          </w:p>
        </w:tc>
        <w:tc>
          <w:tcPr>
            <w:tcW w:w="2867" w:type="pct"/>
            <w:shd w:val="clear" w:color="auto" w:fill="auto"/>
            <w:vAlign w:val="center"/>
          </w:tcPr>
          <w:p w14:paraId="00C5E419">
            <w:pPr>
              <w:widowControl/>
              <w:spacing w:line="240" w:lineRule="auto"/>
              <w:jc w:val="center"/>
              <w:rPr>
                <w:rFonts w:ascii="Times New Roman" w:hAnsi="Times New Roman" w:cs="Times New Roman"/>
                <w:sz w:val="24"/>
              </w:rPr>
            </w:pPr>
            <w:r>
              <w:rPr>
                <w:rFonts w:ascii="Times New Roman" w:hAnsi="Times New Roman" w:cs="Times New Roman"/>
                <w:sz w:val="24"/>
              </w:rPr>
              <w:t>TGGATACTTTTGTCTATCTTTTTCATCAAC</w:t>
            </w:r>
          </w:p>
        </w:tc>
        <w:tc>
          <w:tcPr>
            <w:tcW w:w="744" w:type="pct"/>
            <w:vMerge w:val="continue"/>
            <w:vAlign w:val="center"/>
          </w:tcPr>
          <w:p w14:paraId="42CC4848">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31FDCAA6">
            <w:pPr>
              <w:widowControl/>
              <w:spacing w:line="240" w:lineRule="auto"/>
              <w:jc w:val="center"/>
              <w:rPr>
                <w:rFonts w:ascii="Times New Roman" w:hAnsi="Times New Roman" w:cs="Times New Roman"/>
                <w:sz w:val="24"/>
              </w:rPr>
            </w:pPr>
          </w:p>
        </w:tc>
      </w:tr>
      <w:tr w14:paraId="107E9E2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64BA5545">
            <w:pPr>
              <w:widowControl/>
              <w:spacing w:line="240" w:lineRule="auto"/>
              <w:jc w:val="center"/>
              <w:rPr>
                <w:rFonts w:ascii="Times New Roman" w:hAnsi="Times New Roman" w:cs="Times New Roman"/>
                <w:sz w:val="24"/>
              </w:rPr>
            </w:pPr>
            <w:r>
              <w:rPr>
                <w:rFonts w:ascii="Times New Roman" w:hAnsi="Times New Roman" w:cs="Times New Roman"/>
                <w:sz w:val="24"/>
              </w:rPr>
              <w:t>etb-F</w:t>
            </w:r>
          </w:p>
        </w:tc>
        <w:tc>
          <w:tcPr>
            <w:tcW w:w="2867" w:type="pct"/>
            <w:shd w:val="clear" w:color="auto" w:fill="auto"/>
            <w:vAlign w:val="center"/>
          </w:tcPr>
          <w:p w14:paraId="5B661533">
            <w:pPr>
              <w:widowControl/>
              <w:spacing w:line="240" w:lineRule="auto"/>
              <w:jc w:val="center"/>
              <w:rPr>
                <w:rFonts w:ascii="Times New Roman" w:hAnsi="Times New Roman" w:cs="Times New Roman"/>
                <w:sz w:val="24"/>
              </w:rPr>
            </w:pPr>
            <w:r>
              <w:rPr>
                <w:rFonts w:ascii="Times New Roman" w:hAnsi="Times New Roman" w:cs="Times New Roman"/>
                <w:sz w:val="24"/>
              </w:rPr>
              <w:t>CAGATAAAGAGCTTTATACACACATTAC</w:t>
            </w:r>
          </w:p>
        </w:tc>
        <w:tc>
          <w:tcPr>
            <w:tcW w:w="744" w:type="pct"/>
            <w:vMerge w:val="restart"/>
            <w:vAlign w:val="center"/>
          </w:tcPr>
          <w:p w14:paraId="76483D42">
            <w:pPr>
              <w:widowControl/>
              <w:spacing w:line="240" w:lineRule="auto"/>
              <w:jc w:val="center"/>
              <w:rPr>
                <w:rFonts w:ascii="Times New Roman" w:hAnsi="Times New Roman" w:cs="Times New Roman"/>
                <w:sz w:val="24"/>
              </w:rPr>
            </w:pPr>
            <w:r>
              <w:rPr>
                <w:rFonts w:ascii="Times New Roman" w:hAnsi="Times New Roman" w:cs="Times New Roman"/>
                <w:sz w:val="24"/>
              </w:rPr>
              <w:t>612</w:t>
            </w:r>
          </w:p>
        </w:tc>
        <w:tc>
          <w:tcPr>
            <w:tcW w:w="717" w:type="pct"/>
            <w:vMerge w:val="restart"/>
            <w:shd w:val="clear" w:color="auto" w:fill="auto"/>
            <w:vAlign w:val="center"/>
          </w:tcPr>
          <w:p w14:paraId="4C631738">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{"citationID":"0GTDmoVr","properties":{"formattedCitation":"[7]","plainCitation":"[7]","noteIndex":0},"citationItems":[{"id":1891,"uris":["http://zotero.org/users/13841690/items/3TNHH3TF"],"itemData":{"id":1891,"type":"article-journal","abstract":"The expression of most Staphylococcus aureus virulence factors is controlled by the agr locus, which encodes a two-component signaling pathway whose activating ligand is an agr-encoded autoinducing peptide (AIP). A polymorphism in the amino acid sequence of the AIP and of its corresponding receptor divides S. aureus strains into four major groups. Within a given group, each strain produces a peptide that can activate the agr response in the other member strains, whereas the AIPs belonging to different groups are usually mutually inhibitory. We investigated a possible relationship between agr groups and human S. aureus disease by studying 198 S. aureus strains isolated from 14 asymptomatic carriers, 66 patients with suppurative infection, and 114 patients with acute toxemia. The agr group and the distribution of 24 toxin genes were analyzed by PCR, and the genetic background was determined by means of amplified fragment length polymorphism (AFLP) analysis. The isolates were relatively evenly distributed among the four agrgroups, with 61 strains belonging to agr group I, 49 belonging to group II, 43 belonging to group III, and 45 belonging to group IV. Principal coordinate analysis performed on the AFLP distance matrix divided the 198 strains into three main phylogenetic groups, AF1 corresponding to strains of agr group IV, AF2 corresponding to strains of agr groups I and II, and AF3 corresponding to strains of agr group III. This indicated that the agr type was linked to the genetic background. A relationship between genetic background, agr group, and disease type was observed for several toxin-mediated diseases: for instance, agr group IV strains were associated with generalized exfoliative syndromes, and phylogenetic group AF1 strains with bullous impetigo. Among the suppurative infections, endocarditis strains mainly belonged to phylogenetic group AF2 and agr groups I and II. While these results do not show a direct role of the agr type in the type of human disease caused by S. aureus, the agr group may reflect an ancient evolutionary division of S. aureus in terms of this species' fundamental biology.","container-title":"Infection and Immunity","DOI":"10.1128/IAI.70.2.631-641.2002","ISSN":"0019-9567","issue":"2","journalAbbreviation":"Infect Immun","language":"eng","note":"PMID: 11796592\nPMCID: PMC127674\ntitleTranslation: 金黄色葡萄球菌遗传背景、毒力因子、agr类群(等位基因)与人类疾病的关系\nJCR分区: Q2\n中科院分区升级版: 医学3区\n影响因子: 2.9\n5年影响因子: 3.1\n南农高质量: B","page":"631-641","source":"PubMed","title":"Relationships between Staphylococcus aureus genetic background, virulence factors, agr groups (alleles), and human disease","volume":"70","author":[{"family":"Jarraud","given":"Sophie"},{"family":"Mougel","given":"Christophe"},{"family":"Thioulouse","given":"Jean"},{"family":"Lina","given":"Gerard"},{"family":"Meugnier","given":"Hélène"},{"family":"Forey","given":"Françoise"},{"family":"Nesme","given":"Xavier"},{"family":"Etienne","given":"Jerome"},{"family":"Vandenesch","given":"François"}],"issued":{"date-parts":[["2002",2]]}}}],"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[7]</w:t>
            </w:r>
            <w:r>
              <w:rPr>
                <w:rFonts w:ascii="Times New Roman" w:hAnsi="Times New Roman" w:cs="Times New Roman"/>
                <w:sz w:val="24"/>
              </w:rPr>
              <w:fldChar w:fldCharType="end"/>
            </w:r>
          </w:p>
        </w:tc>
      </w:tr>
      <w:tr w14:paraId="525D89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64852935">
            <w:pPr>
              <w:widowControl/>
              <w:spacing w:line="240" w:lineRule="auto"/>
              <w:jc w:val="center"/>
              <w:rPr>
                <w:rFonts w:ascii="Times New Roman" w:hAnsi="Times New Roman" w:cs="Times New Roman"/>
                <w:sz w:val="24"/>
              </w:rPr>
            </w:pPr>
            <w:r>
              <w:rPr>
                <w:rFonts w:ascii="Times New Roman" w:hAnsi="Times New Roman" w:cs="Times New Roman"/>
                <w:sz w:val="24"/>
              </w:rPr>
              <w:t>etb-R</w:t>
            </w:r>
          </w:p>
        </w:tc>
        <w:tc>
          <w:tcPr>
            <w:tcW w:w="2867" w:type="pct"/>
            <w:shd w:val="clear" w:color="auto" w:fill="auto"/>
            <w:vAlign w:val="center"/>
          </w:tcPr>
          <w:p w14:paraId="638AD28F">
            <w:pPr>
              <w:widowControl/>
              <w:spacing w:line="240" w:lineRule="auto"/>
              <w:jc w:val="center"/>
              <w:rPr>
                <w:rFonts w:ascii="Times New Roman" w:hAnsi="Times New Roman" w:cs="Times New Roman"/>
                <w:sz w:val="24"/>
              </w:rPr>
            </w:pPr>
            <w:r>
              <w:rPr>
                <w:rFonts w:ascii="Times New Roman" w:hAnsi="Times New Roman" w:cs="Times New Roman"/>
                <w:sz w:val="24"/>
              </w:rPr>
              <w:t>AGTGAACTTATCTTTCTATTGAAAAACACTC</w:t>
            </w:r>
          </w:p>
        </w:tc>
        <w:tc>
          <w:tcPr>
            <w:tcW w:w="744" w:type="pct"/>
            <w:vMerge w:val="continue"/>
            <w:vAlign w:val="center"/>
          </w:tcPr>
          <w:p w14:paraId="5FBC9EE6">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6228CD6C">
            <w:pPr>
              <w:widowControl/>
              <w:spacing w:line="240" w:lineRule="auto"/>
              <w:jc w:val="center"/>
              <w:rPr>
                <w:rFonts w:ascii="Times New Roman" w:hAnsi="Times New Roman" w:cs="Times New Roman"/>
                <w:sz w:val="24"/>
              </w:rPr>
            </w:pPr>
          </w:p>
        </w:tc>
      </w:tr>
      <w:tr w14:paraId="741CAE8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696AB807">
            <w:pPr>
              <w:widowControl/>
              <w:spacing w:line="240" w:lineRule="auto"/>
              <w:jc w:val="center"/>
              <w:rPr>
                <w:rFonts w:ascii="Times New Roman" w:hAnsi="Times New Roman" w:cs="Times New Roman"/>
                <w:sz w:val="24"/>
              </w:rPr>
            </w:pPr>
            <w:r>
              <w:rPr>
                <w:rFonts w:ascii="Times New Roman" w:hAnsi="Times New Roman" w:cs="Times New Roman"/>
                <w:sz w:val="24"/>
              </w:rPr>
              <w:t>hla-F</w:t>
            </w:r>
          </w:p>
        </w:tc>
        <w:tc>
          <w:tcPr>
            <w:tcW w:w="2867" w:type="pct"/>
            <w:shd w:val="clear" w:color="auto" w:fill="auto"/>
            <w:vAlign w:val="center"/>
          </w:tcPr>
          <w:p w14:paraId="3E22D430">
            <w:pPr>
              <w:widowControl/>
              <w:spacing w:line="240" w:lineRule="auto"/>
              <w:jc w:val="center"/>
              <w:rPr>
                <w:rFonts w:ascii="Times New Roman" w:hAnsi="Times New Roman" w:cs="Times New Roman"/>
                <w:sz w:val="24"/>
              </w:rPr>
            </w:pPr>
            <w:r>
              <w:rPr>
                <w:rFonts w:ascii="Times New Roman" w:hAnsi="Times New Roman" w:cs="Times New Roman"/>
                <w:sz w:val="24"/>
              </w:rPr>
              <w:t>ATGAAAACACGTATAGTCAGCTCAGTAACAAC</w:t>
            </w:r>
          </w:p>
        </w:tc>
        <w:tc>
          <w:tcPr>
            <w:tcW w:w="744" w:type="pct"/>
            <w:vMerge w:val="restart"/>
            <w:vAlign w:val="center"/>
          </w:tcPr>
          <w:p w14:paraId="593301A3">
            <w:pPr>
              <w:widowControl/>
              <w:spacing w:line="240" w:lineRule="auto"/>
              <w:jc w:val="center"/>
              <w:rPr>
                <w:rFonts w:ascii="Times New Roman" w:hAnsi="Times New Roman" w:cs="Times New Roman"/>
                <w:sz w:val="24"/>
              </w:rPr>
            </w:pPr>
            <w:r>
              <w:rPr>
                <w:rFonts w:ascii="Times New Roman" w:hAnsi="Times New Roman" w:cs="Times New Roman"/>
                <w:sz w:val="24"/>
              </w:rPr>
              <w:t>960</w:t>
            </w:r>
          </w:p>
        </w:tc>
        <w:tc>
          <w:tcPr>
            <w:tcW w:w="717" w:type="pct"/>
            <w:vMerge w:val="restart"/>
            <w:shd w:val="clear" w:color="auto" w:fill="auto"/>
            <w:vAlign w:val="center"/>
          </w:tcPr>
          <w:p w14:paraId="14D2C001">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{"citationID":"gtHcWaZO","properties":{"formattedCitation":"[8]","plainCitation":"[8]","noteIndex":0},"citationItems":[{"id":1284,"uris":["http://zotero.org/users/13841690/items/M2CKA5IY"],"itemData":{"id":1284,"type":"article-journal","abstract":"Staphylococcus aureus is the major pathogen causing nosocomial human infections and produces a variety of virulence factors that contribute to its ability to colonize and cause diseases. This study was conducted to investigate the virulence genes in S. aureus isolated from sterile body fluid samples and their correlation with clinical symptoms and outcomes. The VITEK 2® Compact system was used to perform biochemical identification and antimicrobial susceptibility tests on 33 S. aureus isolates. Virulence genes were amplified using multiplex PCR. The virulence gene patterns were analyzed by systematic cluster analysis. The frequency of methicillin-resistant S. aureus was 45.45%, and 17 virulence genes were identified. Genes encoding hemolysins showed high frequencies. The frequencies of hla, hlb, hld, and hlgB were 93.94% and that of the luk-F/S-PV was 21.21%. Except for the frequency of splB (51.52%), the remaining genes encoding invasive proteases showed frequencies greater than 81.82%. Among the patients, 100.00% had undergone invasive medical procedures and 24.00% had been treated with more than three types of antibiotic drugs. Invasive medical procedures are the main causes of infection. Resistance to antibiotic drugs and the status of carrying virulence genes were highly related to clinical symptoms and outcomes.","container-title":"The Canadian Journal of Infectious Diseases &amp; Medical Microbiology = Journal Canadien Des Maladies Infectieuses Et De La Microbiologie Medicale","DOI":"10.1155/2021/5354747","ISSN":"1712-9532","journalAbbreviation":"The Canadian Journal of Infectious Diseases &amp; Medical Microbiology = Journal Canadien Des Maladies Infectieuses Et De La Microbiologie Medicale","language":"eng","note":"PMID: 34987680\nPMCID: PMC8720599\ntitleTranslation: 无菌体液标本中分离的金黄色葡萄球菌毒力基因检测及其与临床症状和转归的相关性研究","page":"5354747","source":"PubMed","title":"Investigation of Virulence Genes of Staphylococcus aureus Isolated from Sterile Body Fluid Samples and Their Correlation with Clinical Symptoms and Outcomes","volume":"2021","author":[{"family":"Lin","given":"Tao"},{"family":"Li","given":"Qianhui"},{"family":"Jin","given":"Defu"},{"family":"Liu","given":"Wanbo"},{"family":"Tang","given":"Chaogui"},{"family":"Zhang","given":"Xiaoyun"}],"issued":{"date-parts":[["2021"]]}}}],"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[8]</w:t>
            </w:r>
            <w:r>
              <w:rPr>
                <w:rFonts w:ascii="Times New Roman" w:hAnsi="Times New Roman" w:cs="Times New Roman"/>
                <w:sz w:val="24"/>
              </w:rPr>
              <w:fldChar w:fldCharType="end"/>
            </w:r>
          </w:p>
        </w:tc>
      </w:tr>
      <w:tr w14:paraId="18D0C7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0B5FFB16">
            <w:pPr>
              <w:widowControl/>
              <w:spacing w:line="240" w:lineRule="auto"/>
              <w:jc w:val="center"/>
              <w:rPr>
                <w:rFonts w:ascii="Times New Roman" w:hAnsi="Times New Roman" w:cs="Times New Roman"/>
                <w:sz w:val="24"/>
              </w:rPr>
            </w:pPr>
            <w:r>
              <w:rPr>
                <w:rFonts w:ascii="Times New Roman" w:hAnsi="Times New Roman" w:cs="Times New Roman"/>
                <w:sz w:val="24"/>
              </w:rPr>
              <w:t>hla-R</w:t>
            </w:r>
          </w:p>
        </w:tc>
        <w:tc>
          <w:tcPr>
            <w:tcW w:w="2867" w:type="pct"/>
            <w:shd w:val="clear" w:color="auto" w:fill="auto"/>
            <w:vAlign w:val="center"/>
          </w:tcPr>
          <w:p w14:paraId="7C303BA7">
            <w:pPr>
              <w:widowControl/>
              <w:spacing w:line="240" w:lineRule="auto"/>
              <w:jc w:val="center"/>
              <w:rPr>
                <w:rFonts w:ascii="Times New Roman" w:hAnsi="Times New Roman" w:cs="Times New Roman"/>
                <w:sz w:val="24"/>
              </w:rPr>
            </w:pPr>
            <w:r>
              <w:rPr>
                <w:rFonts w:ascii="Times New Roman" w:hAnsi="Times New Roman" w:cs="Times New Roman"/>
                <w:sz w:val="24"/>
              </w:rPr>
              <w:t>TTAATTTGTCATTTCTTCTTTTTCCCAATCGA</w:t>
            </w:r>
          </w:p>
        </w:tc>
        <w:tc>
          <w:tcPr>
            <w:tcW w:w="744" w:type="pct"/>
            <w:vMerge w:val="continue"/>
            <w:vAlign w:val="center"/>
          </w:tcPr>
          <w:p w14:paraId="616D6C81">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3DE86E00">
            <w:pPr>
              <w:widowControl/>
              <w:spacing w:line="240" w:lineRule="auto"/>
              <w:jc w:val="center"/>
              <w:rPr>
                <w:rFonts w:ascii="Times New Roman" w:hAnsi="Times New Roman" w:cs="Times New Roman"/>
                <w:sz w:val="24"/>
              </w:rPr>
            </w:pPr>
          </w:p>
        </w:tc>
      </w:tr>
      <w:tr w14:paraId="154CBA9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1C7D6B65">
            <w:pPr>
              <w:widowControl/>
              <w:spacing w:line="240" w:lineRule="auto"/>
              <w:jc w:val="center"/>
              <w:rPr>
                <w:rFonts w:ascii="Times New Roman" w:hAnsi="Times New Roman" w:cs="Times New Roman"/>
                <w:sz w:val="24"/>
              </w:rPr>
            </w:pPr>
            <w:r>
              <w:rPr>
                <w:rFonts w:ascii="Times New Roman" w:hAnsi="Times New Roman" w:cs="Times New Roman"/>
                <w:sz w:val="24"/>
              </w:rPr>
              <w:t>hlb-F</w:t>
            </w:r>
          </w:p>
        </w:tc>
        <w:tc>
          <w:tcPr>
            <w:tcW w:w="2867" w:type="pct"/>
            <w:shd w:val="clear" w:color="auto" w:fill="auto"/>
            <w:vAlign w:val="center"/>
          </w:tcPr>
          <w:p w14:paraId="128DBA0A">
            <w:pPr>
              <w:widowControl/>
              <w:spacing w:line="240" w:lineRule="auto"/>
              <w:jc w:val="center"/>
              <w:rPr>
                <w:rFonts w:ascii="Times New Roman" w:hAnsi="Times New Roman" w:cs="Times New Roman"/>
                <w:sz w:val="24"/>
              </w:rPr>
            </w:pPr>
            <w:r>
              <w:rPr>
                <w:rFonts w:ascii="Times New Roman" w:hAnsi="Times New Roman" w:cs="Times New Roman"/>
                <w:sz w:val="24"/>
              </w:rPr>
              <w:t>AAATTAGAGCTGAACAAATGAAAGAAATCAG</w:t>
            </w:r>
          </w:p>
        </w:tc>
        <w:tc>
          <w:tcPr>
            <w:tcW w:w="744" w:type="pct"/>
            <w:vMerge w:val="restart"/>
            <w:vAlign w:val="center"/>
          </w:tcPr>
          <w:p w14:paraId="6226DBE3">
            <w:pPr>
              <w:widowControl/>
              <w:spacing w:line="240" w:lineRule="auto"/>
              <w:jc w:val="center"/>
              <w:rPr>
                <w:rFonts w:ascii="Times New Roman" w:hAnsi="Times New Roman" w:cs="Times New Roman"/>
                <w:sz w:val="24"/>
              </w:rPr>
            </w:pPr>
            <w:r>
              <w:rPr>
                <w:rFonts w:ascii="Times New Roman" w:hAnsi="Times New Roman" w:cs="Times New Roman"/>
                <w:sz w:val="24"/>
              </w:rPr>
              <w:t>825</w:t>
            </w:r>
          </w:p>
        </w:tc>
        <w:tc>
          <w:tcPr>
            <w:tcW w:w="717" w:type="pct"/>
            <w:vMerge w:val="restart"/>
            <w:shd w:val="clear" w:color="auto" w:fill="auto"/>
            <w:vAlign w:val="center"/>
          </w:tcPr>
          <w:p w14:paraId="07CE6D88">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{"citationID":"Rb5b7kIW","properties":{"formattedCitation":"[8]","plainCitation":"[8]","noteIndex":0},"citationItems":[{"id":1284,"uris":["http://zotero.org/users/13841690/items/M2CKA5IY"],"itemData":{"id":1284,"type":"article-journal","abstract":"Staphylococcus aureus is the major pathogen causing nosocomial human infections and produces a variety of virulence factors that contribute to its ability to colonize and cause diseases. This study was conducted to investigate the virulence genes in S. aureus isolated from sterile body fluid samples and their correlation with clinical symptoms and outcomes. The VITEK 2® Compact system was used to perform biochemical identification and antimicrobial susceptibility tests on 33 S. aureus isolates. Virulence genes were amplified using multiplex PCR. The virulence gene patterns were analyzed by systematic cluster analysis. The frequency of methicillin-resistant S. aureus was 45.45%, and 17 virulence genes were identified. Genes encoding hemolysins showed high frequencies. The frequencies of hla, hlb, hld, and hlgB were 93.94% and that of the luk-F/S-PV was 21.21%. Except for the frequency of splB (51.52%), the remaining genes encoding invasive proteases showed frequencies greater than 81.82%. Among the patients, 100.00% had undergone invasive medical procedures and 24.00% had been treated with more than three types of antibiotic drugs. Invasive medical procedures are the main causes of infection. Resistance to antibiotic drugs and the status of carrying virulence genes were highly related to clinical symptoms and outcomes.","container-title":"The Canadian Journal of Infectious Diseases &amp; Medical Microbiology = Journal Canadien Des Maladies Infectieuses Et De La Microbiologie Medicale","DOI":"10.1155/2021/5354747","ISSN":"1712-9532","journalAbbreviation":"The Canadian Journal of Infectious Diseases &amp; Medical Microbiology = Journal Canadien Des Maladies Infectieuses Et De La Microbiologie Medicale","language":"eng","note":"PMID: 34987680\nPMCID: PMC8720599\ntitleTranslation: 无菌体液标本中分离的金黄色葡萄球菌毒力基因检测及其与临床症状和转归的相关性研究","page":"5354747","source":"PubMed","title":"Investigation of Virulence Genes of Staphylococcus aureus Isolated from Sterile Body Fluid Samples and Their Correlation with Clinical Symptoms and Outcomes","volume":"2021","author":[{"family":"Lin","given":"Tao"},{"family":"Li","given":"Qianhui"},{"family":"Jin","given":"Defu"},{"family":"Liu","given":"Wanbo"},{"family":"Tang","given":"Chaogui"},{"family":"Zhang","given":"Xiaoyun"}],"issued":{"date-parts":[["2021"]]}}}],"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[8]</w:t>
            </w:r>
            <w:r>
              <w:rPr>
                <w:rFonts w:ascii="Times New Roman" w:hAnsi="Times New Roman" w:cs="Times New Roman"/>
                <w:sz w:val="24"/>
              </w:rPr>
              <w:fldChar w:fldCharType="end"/>
            </w:r>
          </w:p>
        </w:tc>
      </w:tr>
      <w:tr w14:paraId="0A8F55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3BA032CA">
            <w:pPr>
              <w:widowControl/>
              <w:spacing w:line="240" w:lineRule="auto"/>
              <w:jc w:val="center"/>
              <w:rPr>
                <w:rFonts w:ascii="Times New Roman" w:hAnsi="Times New Roman" w:cs="Times New Roman"/>
                <w:sz w:val="24"/>
              </w:rPr>
            </w:pPr>
            <w:r>
              <w:rPr>
                <w:rFonts w:ascii="Times New Roman" w:hAnsi="Times New Roman" w:cs="Times New Roman"/>
                <w:sz w:val="24"/>
              </w:rPr>
              <w:t>hlb-R</w:t>
            </w:r>
          </w:p>
        </w:tc>
        <w:tc>
          <w:tcPr>
            <w:tcW w:w="2867" w:type="pct"/>
            <w:shd w:val="clear" w:color="auto" w:fill="auto"/>
            <w:vAlign w:val="center"/>
          </w:tcPr>
          <w:p w14:paraId="0BC93EBC">
            <w:pPr>
              <w:widowControl/>
              <w:spacing w:line="240" w:lineRule="auto"/>
              <w:jc w:val="center"/>
              <w:rPr>
                <w:rFonts w:ascii="Times New Roman" w:hAnsi="Times New Roman" w:cs="Times New Roman"/>
                <w:sz w:val="24"/>
              </w:rPr>
            </w:pPr>
            <w:r>
              <w:rPr>
                <w:rFonts w:ascii="Times New Roman" w:hAnsi="Times New Roman" w:cs="Times New Roman"/>
                <w:sz w:val="24"/>
              </w:rPr>
              <w:t>TTTCGCAATTGAATTTGATTGAGGGTCCC</w:t>
            </w:r>
          </w:p>
        </w:tc>
        <w:tc>
          <w:tcPr>
            <w:tcW w:w="744" w:type="pct"/>
            <w:vMerge w:val="continue"/>
            <w:vAlign w:val="center"/>
          </w:tcPr>
          <w:p w14:paraId="4278737C">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21F336F0">
            <w:pPr>
              <w:widowControl/>
              <w:spacing w:line="240" w:lineRule="auto"/>
              <w:jc w:val="center"/>
              <w:rPr>
                <w:rFonts w:ascii="Times New Roman" w:hAnsi="Times New Roman" w:cs="Times New Roman"/>
                <w:sz w:val="24"/>
              </w:rPr>
            </w:pPr>
          </w:p>
        </w:tc>
      </w:tr>
      <w:tr w14:paraId="366D3D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37C93D93">
            <w:pPr>
              <w:widowControl/>
              <w:spacing w:line="240" w:lineRule="auto"/>
              <w:jc w:val="center"/>
              <w:rPr>
                <w:rFonts w:ascii="Times New Roman" w:hAnsi="Times New Roman" w:cs="Times New Roman"/>
                <w:sz w:val="24"/>
              </w:rPr>
            </w:pPr>
            <w:r>
              <w:rPr>
                <w:rFonts w:ascii="Times New Roman" w:hAnsi="Times New Roman" w:cs="Times New Roman"/>
                <w:sz w:val="24"/>
              </w:rPr>
              <w:t>hld-F</w:t>
            </w:r>
          </w:p>
        </w:tc>
        <w:tc>
          <w:tcPr>
            <w:tcW w:w="2867" w:type="pct"/>
            <w:shd w:val="clear" w:color="auto" w:fill="auto"/>
            <w:vAlign w:val="center"/>
          </w:tcPr>
          <w:p w14:paraId="3E4C03DF">
            <w:pPr>
              <w:widowControl/>
              <w:spacing w:line="240" w:lineRule="auto"/>
              <w:jc w:val="center"/>
              <w:rPr>
                <w:rFonts w:ascii="Times New Roman" w:hAnsi="Times New Roman" w:cs="Times New Roman"/>
                <w:sz w:val="24"/>
              </w:rPr>
            </w:pPr>
            <w:r>
              <w:rPr>
                <w:rFonts w:ascii="Times New Roman" w:hAnsi="Times New Roman" w:cs="Times New Roman"/>
                <w:sz w:val="24"/>
              </w:rPr>
              <w:t>ATGGCACAAGATATCATTTCAACAATCAGTG</w:t>
            </w:r>
          </w:p>
        </w:tc>
        <w:tc>
          <w:tcPr>
            <w:tcW w:w="744" w:type="pct"/>
            <w:vMerge w:val="restart"/>
            <w:vAlign w:val="center"/>
          </w:tcPr>
          <w:p w14:paraId="053D6931">
            <w:pPr>
              <w:widowControl/>
              <w:spacing w:line="240" w:lineRule="auto"/>
              <w:jc w:val="center"/>
              <w:rPr>
                <w:rFonts w:ascii="Times New Roman" w:hAnsi="Times New Roman" w:cs="Times New Roman"/>
                <w:sz w:val="24"/>
              </w:rPr>
            </w:pPr>
            <w:r>
              <w:rPr>
                <w:rFonts w:ascii="Times New Roman" w:hAnsi="Times New Roman" w:cs="Times New Roman"/>
                <w:sz w:val="24"/>
              </w:rPr>
              <w:t>81</w:t>
            </w:r>
          </w:p>
        </w:tc>
        <w:tc>
          <w:tcPr>
            <w:tcW w:w="717" w:type="pct"/>
            <w:vMerge w:val="restart"/>
            <w:shd w:val="clear" w:color="auto" w:fill="auto"/>
            <w:vAlign w:val="center"/>
          </w:tcPr>
          <w:p w14:paraId="1FF934D9">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{"citationID":"7lyg5CvE","properties":{"formattedCitation":"[8]","plainCitation":"[8]","noteIndex":0},"citationItems":[{"id":1284,"uris":["http://zotero.org/users/13841690/items/M2CKA5IY"],"itemData":{"id":1284,"type":"article-journal","abstract":"Staphylococcus aureus is the major pathogen causing nosocomial human infections and produces a variety of virulence factors that contribute to its ability to colonize and cause diseases. This study was conducted to investigate the virulence genes in S. aureus isolated from sterile body fluid samples and their correlation with clinical symptoms and outcomes. The VITEK 2® Compact system was used to perform biochemical identification and antimicrobial susceptibility tests on 33 S. aureus isolates. Virulence genes were amplified using multiplex PCR. The virulence gene patterns were analyzed by systematic cluster analysis. The frequency of methicillin-resistant S. aureus was 45.45%, and 17 virulence genes were identified. Genes encoding hemolysins showed high frequencies. The frequencies of hla, hlb, hld, and hlgB were 93.94% and that of the luk-F/S-PV was 21.21%. Except for the frequency of splB (51.52%), the remaining genes encoding invasive proteases showed frequencies greater than 81.82%. Among the patients, 100.00% had undergone invasive medical procedures and 24.00% had been treated with more than three types of antibiotic drugs. Invasive medical procedures are the main causes of infection. Resistance to antibiotic drugs and the status of carrying virulence genes were highly related to clinical symptoms and outcomes.","container-title":"The Canadian Journal of Infectious Diseases &amp; Medical Microbiology = Journal Canadien Des Maladies Infectieuses Et De La Microbiologie Medicale","DOI":"10.1155/2021/5354747","ISSN":"1712-9532","journalAbbreviation":"The Canadian Journal of Infectious Diseases &amp; Medical Microbiology = Journal Canadien Des Maladies Infectieuses Et De La Microbiologie Medicale","language":"eng","note":"PMID: 34987680\nPMCID: PMC8720599\ntitleTranslation: 无菌体液标本中分离的金黄色葡萄球菌毒力基因检测及其与临床症状和转归的相关性研究","page":"5354747","source":"PubMed","title":"Investigation of Virulence Genes of Staphylococcus aureus Isolated from Sterile Body Fluid Samples and Their Correlation with Clinical Symptoms and Outcomes","volume":"2021","author":[{"family":"Lin","given":"Tao"},{"family":"Li","given":"Qianhui"},{"family":"Jin","given":"Defu"},{"family":"Liu","given":"Wanbo"},{"family":"Tang","given":"Chaogui"},{"family":"Zhang","given":"Xiaoyun"}],"issued":{"date-parts":[["2021"]]}}}],"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[8]</w:t>
            </w:r>
            <w:r>
              <w:rPr>
                <w:rFonts w:ascii="Times New Roman" w:hAnsi="Times New Roman" w:cs="Times New Roman"/>
                <w:sz w:val="24"/>
              </w:rPr>
              <w:fldChar w:fldCharType="end"/>
            </w:r>
          </w:p>
        </w:tc>
      </w:tr>
      <w:tr w14:paraId="3F37389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17E01AF4">
            <w:pPr>
              <w:widowControl/>
              <w:spacing w:line="240" w:lineRule="auto"/>
              <w:jc w:val="center"/>
              <w:rPr>
                <w:rFonts w:ascii="Times New Roman" w:hAnsi="Times New Roman" w:cs="Times New Roman"/>
                <w:sz w:val="24"/>
              </w:rPr>
            </w:pPr>
            <w:r>
              <w:rPr>
                <w:rFonts w:ascii="Times New Roman" w:hAnsi="Times New Roman" w:cs="Times New Roman"/>
                <w:sz w:val="24"/>
              </w:rPr>
              <w:t>hld-R</w:t>
            </w:r>
          </w:p>
        </w:tc>
        <w:tc>
          <w:tcPr>
            <w:tcW w:w="2867" w:type="pct"/>
            <w:shd w:val="clear" w:color="auto" w:fill="auto"/>
            <w:vAlign w:val="center"/>
          </w:tcPr>
          <w:p w14:paraId="0B76C15C">
            <w:pPr>
              <w:widowControl/>
              <w:spacing w:line="240" w:lineRule="auto"/>
              <w:jc w:val="center"/>
              <w:rPr>
                <w:rFonts w:ascii="Times New Roman" w:hAnsi="Times New Roman" w:cs="Times New Roman"/>
                <w:sz w:val="24"/>
              </w:rPr>
            </w:pPr>
            <w:r>
              <w:rPr>
                <w:rFonts w:ascii="Times New Roman" w:hAnsi="Times New Roman" w:cs="Times New Roman"/>
                <w:sz w:val="24"/>
              </w:rPr>
              <w:t>TTATTTTTTAGTGAATTTGTTCACTGTGTCG</w:t>
            </w:r>
          </w:p>
        </w:tc>
        <w:tc>
          <w:tcPr>
            <w:tcW w:w="744" w:type="pct"/>
            <w:vMerge w:val="continue"/>
            <w:vAlign w:val="center"/>
          </w:tcPr>
          <w:p w14:paraId="65E49B2B">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0E21BC08">
            <w:pPr>
              <w:widowControl/>
              <w:spacing w:line="240" w:lineRule="auto"/>
              <w:jc w:val="center"/>
              <w:rPr>
                <w:rFonts w:ascii="Times New Roman" w:hAnsi="Times New Roman" w:cs="Times New Roman"/>
                <w:sz w:val="24"/>
              </w:rPr>
            </w:pPr>
          </w:p>
        </w:tc>
      </w:tr>
      <w:tr w14:paraId="063C22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4483408A">
            <w:pPr>
              <w:widowControl/>
              <w:spacing w:line="240" w:lineRule="auto"/>
              <w:jc w:val="center"/>
              <w:rPr>
                <w:rFonts w:ascii="Times New Roman" w:hAnsi="Times New Roman" w:cs="Times New Roman"/>
                <w:sz w:val="24"/>
              </w:rPr>
            </w:pPr>
            <w:r>
              <w:rPr>
                <w:rFonts w:ascii="Times New Roman" w:hAnsi="Times New Roman" w:cs="Times New Roman"/>
                <w:sz w:val="24"/>
              </w:rPr>
              <w:t>hlgA-F</w:t>
            </w:r>
          </w:p>
        </w:tc>
        <w:tc>
          <w:tcPr>
            <w:tcW w:w="2867" w:type="pct"/>
            <w:shd w:val="clear" w:color="auto" w:fill="auto"/>
            <w:vAlign w:val="center"/>
          </w:tcPr>
          <w:p w14:paraId="7A4FCABE">
            <w:pPr>
              <w:widowControl/>
              <w:spacing w:line="240" w:lineRule="auto"/>
              <w:jc w:val="center"/>
              <w:rPr>
                <w:rFonts w:ascii="Times New Roman" w:hAnsi="Times New Roman" w:cs="Times New Roman"/>
                <w:sz w:val="24"/>
              </w:rPr>
            </w:pPr>
            <w:r>
              <w:rPr>
                <w:rFonts w:ascii="Times New Roman" w:hAnsi="Times New Roman" w:cs="Times New Roman"/>
                <w:sz w:val="24"/>
              </w:rPr>
              <w:t>ATGATTAAAAATAAAATATTAACAGCAACTTTAGCAGTT</w:t>
            </w:r>
          </w:p>
        </w:tc>
        <w:tc>
          <w:tcPr>
            <w:tcW w:w="744" w:type="pct"/>
            <w:vMerge w:val="restart"/>
            <w:vAlign w:val="center"/>
          </w:tcPr>
          <w:p w14:paraId="6221C858">
            <w:pPr>
              <w:widowControl/>
              <w:spacing w:line="240" w:lineRule="auto"/>
              <w:jc w:val="center"/>
              <w:rPr>
                <w:rFonts w:ascii="Times New Roman" w:hAnsi="Times New Roman" w:cs="Times New Roman"/>
                <w:sz w:val="24"/>
              </w:rPr>
            </w:pPr>
            <w:r>
              <w:rPr>
                <w:rFonts w:ascii="Times New Roman" w:hAnsi="Times New Roman" w:cs="Times New Roman"/>
                <w:sz w:val="24"/>
              </w:rPr>
              <w:t>860</w:t>
            </w:r>
          </w:p>
        </w:tc>
        <w:tc>
          <w:tcPr>
            <w:tcW w:w="717" w:type="pct"/>
            <w:vMerge w:val="restart"/>
            <w:shd w:val="clear" w:color="auto" w:fill="auto"/>
            <w:vAlign w:val="center"/>
          </w:tcPr>
          <w:p w14:paraId="450FB268">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{"citationID":"diCjZss1","properties":{"formattedCitation":"[8]","plainCitation":"[8]","noteIndex":0},"citationItems":[{"id":1284,"uris":["http://zotero.org/users/13841690/items/M2CKA5IY"],"itemData":{"id":1284,"type":"article-journal","abstract":"Staphylococcus aureus is the major pathogen causing nosocomial human infections and produces a variety of virulence factors that contribute to its ability to colonize and cause diseases. This study was conducted to investigate the virulence genes in S. aureus isolated from sterile body fluid samples and their correlation with clinical symptoms and outcomes. The VITEK 2® Compact system was used to perform biochemical identification and antimicrobial susceptibility tests on 33 S. aureus isolates. Virulence genes were amplified using multiplex PCR. The virulence gene patterns were analyzed by systematic cluster analysis. The frequency of methicillin-resistant S. aureus was 45.45%, and 17 virulence genes were identified. Genes encoding hemolysins showed high frequencies. The frequencies of hla, hlb, hld, and hlgB were 93.94% and that of the luk-F/S-PV was 21.21%. Except for the frequency of splB (51.52%), the remaining genes encoding invasive proteases showed frequencies greater than 81.82%. Among the patients, 100.00% had undergone invasive medical procedures and 24.00% had been treated with more than three types of antibiotic drugs. Invasive medical procedures are the main causes of infection. Resistance to antibiotic drugs and the status of carrying virulence genes were highly related to clinical symptoms and outcomes.","container-title":"The Canadian Journal of Infectious Diseases &amp; Medical Microbiology = Journal Canadien Des Maladies Infectieuses Et De La Microbiologie Medicale","DOI":"10.1155/2021/5354747","ISSN":"1712-9532","journalAbbreviation":"The Canadian Journal of Infectious Diseases &amp; Medical Microbiology = Journal Canadien Des Maladies Infectieuses Et De La Microbiologie Medicale","language":"eng","note":"PMID: 34987680\nPMCID: PMC8720599\ntitleTranslation: 无菌体液标本中分离的金黄色葡萄球菌毒力基因检测及其与临床症状和转归的相关性研究","page":"5354747","source":"PubMed","title":"Investigation of Virulence Genes of Staphylococcus aureus Isolated from Sterile Body Fluid Samples and Their Correlation with Clinical Symptoms and Outcomes","volume":"2021","author":[{"family":"Lin","given":"Tao"},{"family":"Li","given":"Qianhui"},{"family":"Jin","given":"Defu"},{"family":"Liu","given":"Wanbo"},{"family":"Tang","given":"Chaogui"},{"family":"Zhang","given":"Xiaoyun"}],"issued":{"date-parts":[["2021"]]}}}],"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[8]</w:t>
            </w:r>
            <w:r>
              <w:rPr>
                <w:rFonts w:ascii="Times New Roman" w:hAnsi="Times New Roman" w:cs="Times New Roman"/>
                <w:sz w:val="24"/>
              </w:rPr>
              <w:fldChar w:fldCharType="end"/>
            </w:r>
          </w:p>
        </w:tc>
      </w:tr>
      <w:tr w14:paraId="580496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4C114A87">
            <w:pPr>
              <w:widowControl/>
              <w:spacing w:line="240" w:lineRule="auto"/>
              <w:jc w:val="center"/>
              <w:rPr>
                <w:rFonts w:ascii="Times New Roman" w:hAnsi="Times New Roman" w:cs="Times New Roman"/>
                <w:sz w:val="24"/>
              </w:rPr>
            </w:pPr>
            <w:r>
              <w:rPr>
                <w:rFonts w:ascii="Times New Roman" w:hAnsi="Times New Roman" w:cs="Times New Roman"/>
                <w:sz w:val="24"/>
              </w:rPr>
              <w:t>hlgA-R</w:t>
            </w:r>
          </w:p>
        </w:tc>
        <w:tc>
          <w:tcPr>
            <w:tcW w:w="2867" w:type="pct"/>
            <w:shd w:val="clear" w:color="auto" w:fill="auto"/>
            <w:vAlign w:val="center"/>
          </w:tcPr>
          <w:p w14:paraId="4E64EE44">
            <w:pPr>
              <w:widowControl/>
              <w:spacing w:line="240" w:lineRule="auto"/>
              <w:jc w:val="center"/>
              <w:rPr>
                <w:rFonts w:ascii="Times New Roman" w:hAnsi="Times New Roman" w:cs="Times New Roman"/>
                <w:sz w:val="24"/>
              </w:rPr>
            </w:pPr>
            <w:r>
              <w:rPr>
                <w:rFonts w:ascii="Times New Roman" w:hAnsi="Times New Roman" w:cs="Times New Roman"/>
                <w:sz w:val="24"/>
              </w:rPr>
              <w:t>TTACTTAGGTGTGATGCTTTTAATTTTTACTTCATGTG</w:t>
            </w:r>
          </w:p>
        </w:tc>
        <w:tc>
          <w:tcPr>
            <w:tcW w:w="744" w:type="pct"/>
            <w:vMerge w:val="continue"/>
            <w:vAlign w:val="center"/>
          </w:tcPr>
          <w:p w14:paraId="11157CA6">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005BACE6">
            <w:pPr>
              <w:widowControl/>
              <w:spacing w:line="240" w:lineRule="auto"/>
              <w:jc w:val="center"/>
              <w:rPr>
                <w:rFonts w:ascii="Times New Roman" w:hAnsi="Times New Roman" w:cs="Times New Roman"/>
                <w:sz w:val="24"/>
              </w:rPr>
            </w:pPr>
          </w:p>
        </w:tc>
      </w:tr>
      <w:tr w14:paraId="25EBA4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43160BC6">
            <w:pPr>
              <w:widowControl/>
              <w:spacing w:line="240" w:lineRule="auto"/>
              <w:jc w:val="center"/>
              <w:rPr>
                <w:rFonts w:ascii="Times New Roman" w:hAnsi="Times New Roman" w:cs="Times New Roman"/>
                <w:sz w:val="24"/>
              </w:rPr>
            </w:pPr>
            <w:r>
              <w:rPr>
                <w:rFonts w:ascii="Times New Roman" w:hAnsi="Times New Roman" w:cs="Times New Roman"/>
                <w:sz w:val="24"/>
              </w:rPr>
              <w:t>hlgB-F</w:t>
            </w:r>
          </w:p>
        </w:tc>
        <w:tc>
          <w:tcPr>
            <w:tcW w:w="2867" w:type="pct"/>
            <w:shd w:val="clear" w:color="auto" w:fill="auto"/>
            <w:vAlign w:val="center"/>
          </w:tcPr>
          <w:p w14:paraId="3FCE7C61">
            <w:pPr>
              <w:widowControl/>
              <w:spacing w:line="240" w:lineRule="auto"/>
              <w:jc w:val="center"/>
              <w:rPr>
                <w:rFonts w:ascii="Times New Roman" w:hAnsi="Times New Roman" w:cs="Times New Roman"/>
                <w:sz w:val="24"/>
              </w:rPr>
            </w:pPr>
            <w:r>
              <w:rPr>
                <w:rFonts w:ascii="Times New Roman" w:hAnsi="Times New Roman" w:cs="Times New Roman"/>
                <w:sz w:val="24"/>
              </w:rPr>
              <w:t>ATGAAAATGAATAAATTAGTCAAATCATCCGTTGC</w:t>
            </w:r>
          </w:p>
        </w:tc>
        <w:tc>
          <w:tcPr>
            <w:tcW w:w="744" w:type="pct"/>
            <w:vMerge w:val="restart"/>
            <w:vAlign w:val="center"/>
          </w:tcPr>
          <w:p w14:paraId="6F8659B8">
            <w:pPr>
              <w:widowControl/>
              <w:spacing w:line="240" w:lineRule="auto"/>
              <w:jc w:val="center"/>
              <w:rPr>
                <w:rFonts w:ascii="Times New Roman" w:hAnsi="Times New Roman" w:cs="Times New Roman"/>
                <w:sz w:val="24"/>
              </w:rPr>
            </w:pPr>
            <w:r>
              <w:rPr>
                <w:rFonts w:ascii="Times New Roman" w:hAnsi="Times New Roman" w:cs="Times New Roman"/>
                <w:sz w:val="24"/>
              </w:rPr>
              <w:t>792</w:t>
            </w:r>
          </w:p>
        </w:tc>
        <w:tc>
          <w:tcPr>
            <w:tcW w:w="717" w:type="pct"/>
            <w:vMerge w:val="restart"/>
            <w:shd w:val="clear" w:color="auto" w:fill="auto"/>
            <w:vAlign w:val="center"/>
          </w:tcPr>
          <w:p w14:paraId="102CE8CC">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{"citationID":"oXr7M2dt","properties":{"formattedCitation":"[8]","plainCitation":"[8]","noteIndex":0},"citationItems":[{"id":1284,"uris":["http://zotero.org/users/13841690/items/M2CKA5IY"],"itemData":{"id":1284,"type":"article-journal","abstract":"Staphylococcus aureus is the major pathogen causing nosocomial human infections and produces a variety of virulence factors that contribute to its ability to colonize and cause diseases. This study was conducted to investigate the virulence genes in S. aureus isolated from sterile body fluid samples and their correlation with clinical symptoms and outcomes. The VITEK 2® Compact system was used to perform biochemical identification and antimicrobial susceptibility tests on 33 S. aureus isolates. Virulence genes were amplified using multiplex PCR. The virulence gene patterns were analyzed by systematic cluster analysis. The frequency of methicillin-resistant S. aureus was 45.45%, and 17 virulence genes were identified. Genes encoding hemolysins showed high frequencies. The frequencies of hla, hlb, hld, and hlgB were 93.94% and that of the luk-F/S-PV was 21.21%. Except for the frequency of splB (51.52%), the remaining genes encoding invasive proteases showed frequencies greater than 81.82%. Among the patients, 100.00% had undergone invasive medical procedures and 24.00% had been treated with more than three types of antibiotic drugs. Invasive medical procedures are the main causes of infection. Resistance to antibiotic drugs and the status of carrying virulence genes were highly related to clinical symptoms and outcomes.","container-title":"The Canadian Journal of Infectious Diseases &amp; Medical Microbiology = Journal Canadien Des Maladies Infectieuses Et De La Microbiologie Medicale","DOI":"10.1155/2021/5354747","ISSN":"1712-9532","journalAbbreviation":"The Canadian Journal of Infectious Diseases &amp; Medical Microbiology = Journal Canadien Des Maladies Infectieuses Et De La Microbiologie Medicale","language":"eng","note":"PMID: 34987680\nPMCID: PMC8720599\ntitleTranslation: 无菌体液标本中分离的金黄色葡萄球菌毒力基因检测及其与临床症状和转归的相关性研究","page":"5354747","source":"PubMed","title":"Investigation of Virulence Genes of Staphylococcus aureus Isolated from Sterile Body Fluid Samples and Their Correlation with Clinical Symptoms and Outcomes","volume":"2021","author":[{"family":"Lin","given":"Tao"},{"family":"Li","given":"Qianhui"},{"family":"Jin","given":"Defu"},{"family":"Liu","given":"Wanbo"},{"family":"Tang","given":"Chaogui"},{"family":"Zhang","given":"Xiaoyun"}],"issued":{"date-parts":[["2021"]]}}}],"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[8]</w:t>
            </w:r>
            <w:r>
              <w:rPr>
                <w:rFonts w:ascii="Times New Roman" w:hAnsi="Times New Roman" w:cs="Times New Roman"/>
                <w:sz w:val="24"/>
              </w:rPr>
              <w:fldChar w:fldCharType="end"/>
            </w:r>
          </w:p>
        </w:tc>
      </w:tr>
      <w:tr w14:paraId="723135D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5C1E9D12">
            <w:pPr>
              <w:widowControl/>
              <w:spacing w:line="240" w:lineRule="auto"/>
              <w:jc w:val="center"/>
              <w:rPr>
                <w:rFonts w:ascii="Times New Roman" w:hAnsi="Times New Roman" w:cs="Times New Roman"/>
                <w:sz w:val="24"/>
              </w:rPr>
            </w:pPr>
            <w:r>
              <w:rPr>
                <w:rFonts w:ascii="Times New Roman" w:hAnsi="Times New Roman" w:cs="Times New Roman"/>
                <w:sz w:val="24"/>
              </w:rPr>
              <w:t>hlgB-R</w:t>
            </w:r>
          </w:p>
        </w:tc>
        <w:tc>
          <w:tcPr>
            <w:tcW w:w="2867" w:type="pct"/>
            <w:shd w:val="clear" w:color="auto" w:fill="auto"/>
            <w:vAlign w:val="center"/>
          </w:tcPr>
          <w:p w14:paraId="1D7CAFC1">
            <w:pPr>
              <w:widowControl/>
              <w:spacing w:line="240" w:lineRule="auto"/>
              <w:jc w:val="center"/>
              <w:rPr>
                <w:rFonts w:ascii="Times New Roman" w:hAnsi="Times New Roman" w:cs="Times New Roman"/>
                <w:sz w:val="24"/>
              </w:rPr>
            </w:pPr>
            <w:r>
              <w:rPr>
                <w:rFonts w:ascii="Times New Roman" w:hAnsi="Times New Roman" w:cs="Times New Roman"/>
                <w:sz w:val="24"/>
              </w:rPr>
              <w:t>TTACTGTAATTTTAGATTTTTTAGCGCCATCTTG</w:t>
            </w:r>
          </w:p>
        </w:tc>
        <w:tc>
          <w:tcPr>
            <w:tcW w:w="744" w:type="pct"/>
            <w:vMerge w:val="continue"/>
            <w:vAlign w:val="center"/>
          </w:tcPr>
          <w:p w14:paraId="536F4E63">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701F0C8B">
            <w:pPr>
              <w:widowControl/>
              <w:spacing w:line="240" w:lineRule="auto"/>
              <w:jc w:val="center"/>
              <w:rPr>
                <w:rFonts w:ascii="Times New Roman" w:hAnsi="Times New Roman" w:cs="Times New Roman"/>
                <w:sz w:val="24"/>
              </w:rPr>
            </w:pPr>
          </w:p>
        </w:tc>
      </w:tr>
      <w:tr w14:paraId="482FD7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64EC6BC6">
            <w:pPr>
              <w:widowControl/>
              <w:spacing w:line="240" w:lineRule="auto"/>
              <w:jc w:val="center"/>
              <w:rPr>
                <w:rFonts w:ascii="Times New Roman" w:hAnsi="Times New Roman" w:cs="Times New Roman"/>
                <w:sz w:val="24"/>
              </w:rPr>
            </w:pPr>
            <w:r>
              <w:rPr>
                <w:rFonts w:ascii="Times New Roman" w:hAnsi="Times New Roman" w:cs="Times New Roman"/>
                <w:sz w:val="24"/>
              </w:rPr>
              <w:t>hlgC-F</w:t>
            </w:r>
          </w:p>
        </w:tc>
        <w:tc>
          <w:tcPr>
            <w:tcW w:w="2867" w:type="pct"/>
            <w:shd w:val="clear" w:color="auto" w:fill="auto"/>
            <w:vAlign w:val="center"/>
          </w:tcPr>
          <w:p w14:paraId="5CEF7AF2">
            <w:pPr>
              <w:widowControl/>
              <w:spacing w:line="240" w:lineRule="auto"/>
              <w:jc w:val="center"/>
              <w:rPr>
                <w:rFonts w:ascii="Times New Roman" w:hAnsi="Times New Roman" w:cs="Times New Roman"/>
                <w:sz w:val="24"/>
              </w:rPr>
            </w:pPr>
            <w:r>
              <w:rPr>
                <w:rFonts w:ascii="Times New Roman" w:hAnsi="Times New Roman" w:cs="Times New Roman"/>
                <w:sz w:val="24"/>
              </w:rPr>
              <w:t>GCTTAAAAATAAAATATTAACTACAACTTTATCTGTGAGC</w:t>
            </w:r>
          </w:p>
        </w:tc>
        <w:tc>
          <w:tcPr>
            <w:tcW w:w="744" w:type="pct"/>
            <w:vMerge w:val="restart"/>
            <w:vAlign w:val="center"/>
          </w:tcPr>
          <w:p w14:paraId="6A4C84F5">
            <w:pPr>
              <w:widowControl/>
              <w:spacing w:line="240" w:lineRule="auto"/>
              <w:jc w:val="center"/>
              <w:rPr>
                <w:rFonts w:ascii="Times New Roman" w:hAnsi="Times New Roman" w:cs="Times New Roman"/>
                <w:sz w:val="24"/>
              </w:rPr>
            </w:pPr>
            <w:r>
              <w:rPr>
                <w:rFonts w:ascii="Times New Roman" w:hAnsi="Times New Roman" w:cs="Times New Roman"/>
                <w:sz w:val="24"/>
              </w:rPr>
              <w:t>720</w:t>
            </w:r>
          </w:p>
        </w:tc>
        <w:tc>
          <w:tcPr>
            <w:tcW w:w="717" w:type="pct"/>
            <w:vMerge w:val="restart"/>
            <w:shd w:val="clear" w:color="auto" w:fill="auto"/>
            <w:vAlign w:val="center"/>
          </w:tcPr>
          <w:p w14:paraId="14958C30">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{"citationID":"EiaCjgPI","properties":{"formattedCitation":"[8]","plainCitation":"[8]","noteIndex":0},"citationItems":[{"id":1284,"uris":["http://zotero.org/users/13841690/items/M2CKA5IY"],"itemData":{"id":1284,"type":"article-journal","abstract":"Staphylococcus aureus is the major pathogen causing nosocomial human infections and produces a variety of virulence factors that contribute to its ability to colonize and cause diseases. This study was conducted to investigate the virulence genes in S. aureus isolated from sterile body fluid samples and their correlation with clinical symptoms and outcomes. The VITEK 2® Compact system was used to perform biochemical identification and antimicrobial susceptibility tests on 33 S. aureus isolates. Virulence genes were amplified using multiplex PCR. The virulence gene patterns were analyzed by systematic cluster analysis. The frequency of methicillin-resistant S. aureus was 45.45%, and 17 virulence genes were identified. Genes encoding hemolysins showed high frequencies. The frequencies of hla, hlb, hld, and hlgB were 93.94% and that of the luk-F/S-PV was 21.21%. Except for the frequency of splB (51.52%), the remaining genes encoding invasive proteases showed frequencies greater than 81.82%. Among the patients, 100.00% had undergone invasive medical procedures and 24.00% had been treated with more than three types of antibiotic drugs. Invasive medical procedures are the main causes of infection. Resistance to antibiotic drugs and the status of carrying virulence genes were highly related to clinical symptoms and outcomes.","container-title":"The Canadian Journal of Infectious Diseases &amp; Medical Microbiology = Journal Canadien Des Maladies Infectieuses Et De La Microbiologie Medicale","DOI":"10.1155/2021/5354747","ISSN":"1712-9532","journalAbbreviation":"The Canadian Journal of Infectious Diseases &amp; Medical Microbiology = Journal Canadien Des Maladies Infectieuses Et De La Microbiologie Medicale","language":"eng","note":"PMID: 34987680\nPMCID: PMC8720599\ntitleTranslation: 无菌体液标本中分离的金黄色葡萄球菌毒力基因检测及其与临床症状和转归的相关性研究","page":"5354747","source":"PubMed","title":"Investigation of Virulence Genes of Staphylococcus aureus Isolated from Sterile Body Fluid Samples and Their Correlation with Clinical Symptoms and Outcomes","volume":"2021","author":[{"family":"Lin","given":"Tao"},{"family":"Li","given":"Qianhui"},{"family":"Jin","given":"Defu"},{"family":"Liu","given":"Wanbo"},{"family":"Tang","given":"Chaogui"},{"family":"Zhang","given":"Xiaoyun"}],"issued":{"date-parts":[["2021"]]}}}],"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[8]</w:t>
            </w:r>
            <w:r>
              <w:rPr>
                <w:rFonts w:ascii="Times New Roman" w:hAnsi="Times New Roman" w:cs="Times New Roman"/>
                <w:sz w:val="24"/>
              </w:rPr>
              <w:fldChar w:fldCharType="end"/>
            </w:r>
          </w:p>
        </w:tc>
      </w:tr>
      <w:tr w14:paraId="4915C42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6E69DBC0">
            <w:pPr>
              <w:widowControl/>
              <w:spacing w:line="240" w:lineRule="auto"/>
              <w:jc w:val="center"/>
              <w:rPr>
                <w:rFonts w:ascii="Times New Roman" w:hAnsi="Times New Roman" w:cs="Times New Roman"/>
                <w:sz w:val="24"/>
              </w:rPr>
            </w:pPr>
            <w:r>
              <w:rPr>
                <w:rFonts w:ascii="Times New Roman" w:hAnsi="Times New Roman" w:cs="Times New Roman"/>
                <w:sz w:val="24"/>
              </w:rPr>
              <w:t>hlgC-R</w:t>
            </w:r>
          </w:p>
        </w:tc>
        <w:tc>
          <w:tcPr>
            <w:tcW w:w="2867" w:type="pct"/>
            <w:shd w:val="clear" w:color="auto" w:fill="auto"/>
            <w:vAlign w:val="center"/>
          </w:tcPr>
          <w:p w14:paraId="6E2047B0">
            <w:pPr>
              <w:widowControl/>
              <w:spacing w:line="240" w:lineRule="auto"/>
              <w:jc w:val="center"/>
              <w:rPr>
                <w:rFonts w:ascii="Times New Roman" w:hAnsi="Times New Roman" w:cs="Times New Roman"/>
                <w:sz w:val="24"/>
              </w:rPr>
            </w:pPr>
            <w:r>
              <w:rPr>
                <w:rFonts w:ascii="Times New Roman" w:hAnsi="Times New Roman" w:cs="Times New Roman"/>
                <w:sz w:val="24"/>
              </w:rPr>
              <w:t>TCAATTCTGTCCTTTCACCTTGATTTCATGAG</w:t>
            </w:r>
          </w:p>
        </w:tc>
        <w:tc>
          <w:tcPr>
            <w:tcW w:w="744" w:type="pct"/>
            <w:vMerge w:val="continue"/>
            <w:vAlign w:val="center"/>
          </w:tcPr>
          <w:p w14:paraId="676B1D5A">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1351EDA0">
            <w:pPr>
              <w:widowControl/>
              <w:spacing w:line="240" w:lineRule="auto"/>
              <w:jc w:val="center"/>
              <w:rPr>
                <w:rFonts w:ascii="Times New Roman" w:hAnsi="Times New Roman" w:cs="Times New Roman"/>
                <w:sz w:val="24"/>
              </w:rPr>
            </w:pPr>
          </w:p>
        </w:tc>
      </w:tr>
      <w:tr w14:paraId="45DB49A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6311F7E2">
            <w:pPr>
              <w:widowControl/>
              <w:spacing w:line="240" w:lineRule="auto"/>
              <w:jc w:val="center"/>
              <w:rPr>
                <w:rFonts w:ascii="Times New Roman" w:hAnsi="Times New Roman" w:cs="Times New Roman"/>
                <w:sz w:val="24"/>
              </w:rPr>
            </w:pPr>
            <w:r>
              <w:rPr>
                <w:rFonts w:ascii="Times New Roman" w:hAnsi="Times New Roman" w:cs="Times New Roman"/>
                <w:sz w:val="24"/>
              </w:rPr>
              <w:t>mecA-F</w:t>
            </w:r>
          </w:p>
        </w:tc>
        <w:tc>
          <w:tcPr>
            <w:tcW w:w="2867" w:type="pct"/>
            <w:shd w:val="clear" w:color="auto" w:fill="auto"/>
            <w:vAlign w:val="center"/>
          </w:tcPr>
          <w:p w14:paraId="435F8765">
            <w:pPr>
              <w:widowControl/>
              <w:spacing w:line="240" w:lineRule="auto"/>
              <w:jc w:val="center"/>
              <w:rPr>
                <w:rFonts w:ascii="Times New Roman" w:hAnsi="Times New Roman" w:cs="Times New Roman"/>
                <w:sz w:val="24"/>
              </w:rPr>
            </w:pPr>
            <w:r>
              <w:rPr>
                <w:rFonts w:ascii="Times New Roman" w:hAnsi="Times New Roman" w:cs="Times New Roman"/>
                <w:color w:val="000000" w:themeColor="text1"/>
                <w:sz w:val="24"/>
                <w14:textFill>
                  <w14:solidFill>
                    <w14:schemeClr w14:val="tx1"/>
                  </w14:solidFill>
                </w14:textFill>
              </w:rPr>
              <w:t>AAAATCGATGGTAAAGGTTGGC</w:t>
            </w:r>
          </w:p>
        </w:tc>
        <w:tc>
          <w:tcPr>
            <w:tcW w:w="744" w:type="pct"/>
            <w:vMerge w:val="restart"/>
            <w:vAlign w:val="center"/>
          </w:tcPr>
          <w:p w14:paraId="42DA15EB">
            <w:pPr>
              <w:widowControl/>
              <w:spacing w:line="240" w:lineRule="auto"/>
              <w:jc w:val="center"/>
              <w:rPr>
                <w:rFonts w:ascii="Times New Roman" w:hAnsi="Times New Roman" w:cs="Times New Roman"/>
                <w:sz w:val="24"/>
              </w:rPr>
            </w:pPr>
            <w:r>
              <w:rPr>
                <w:rFonts w:ascii="Times New Roman" w:hAnsi="Times New Roman" w:cs="Times New Roman"/>
                <w:sz w:val="24"/>
              </w:rPr>
              <w:t>533</w:t>
            </w:r>
          </w:p>
        </w:tc>
        <w:tc>
          <w:tcPr>
            <w:tcW w:w="717" w:type="pct"/>
            <w:vMerge w:val="restart"/>
            <w:shd w:val="clear" w:color="auto" w:fill="auto"/>
            <w:vAlign w:val="center"/>
          </w:tcPr>
          <w:p w14:paraId="4387A53F">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{"citationID":"oyyD4595","properties":{"formattedCitation":"[9]","plainCitation":"[9]","noteIndex":0},"citationItems":[{"id":1898,"uris":["http://zotero.org/users/13841690/items/42TXWBSP"],"itemData":{"id":1898,"type":"article-journal","abstract":"OBJECTIVES: Oxacillin-susceptible mecA-positive Staphylococcus aureus (OS-MRSA) is clinically significant and isolated globally but the mechanism of its occurrence remains indistinct. We sought to assess the mechanism of regulating oxacillin susceptibility in OS-MRSA isolates by evaluating the evolutionary dynamics of OS-MRSA and the discrepancies of mecA-regulating genes in OS-MRSA and oxacillin-resistant MRSA (OR-MRSA).\nMETHODS: Nine OS-MRSA isolates and 77 OR-MRSA isolates were sequenced using next-generation sequencing (NGS) platforms. Two representative OS-MRSA isolates (ET-13, ET-16) were induced to be oxacillin resistant and sequenced also. OS-MRSA ET-16 and its counterpart isolate with induced oxacillin resistance, ET-16I, and their mutants were used to confirm the role of the bla system in regulating methicillin susceptibility. Oxacillin MICs were determined using Etests. Expression of mecA and blaR1 was quantified by quantitative RT-PCR.\nRESULTS: A deletion in blaR1 in most OS-MRSA isolates (7/9; 77.78%) was found using NGS data, and overexpression of OR-blaR1 in OS-MRSA isolate ET-16 restored its oxacillin resistance. OS-MRSA could be induced to be oxacillin resistant, while growth was suppressed in the induced isolates. Plasmid containing the bla locus was lost in most induced isolates during the induction process and complementation of blaR1-blaI from OS-MRSA ET-16 to the induced isolate ET-16I converted its oxacillin susceptibility.\nCONCLUSIONS: Deletion in blaR1 resulted in oxacillin susceptibility in OS-MRSA, and loss of the bla regulator in OS-MRSA restored oxacillin resistance. The bla system played a crucial role in regulating oxacillin susceptibility in OS-MRSA isolates.","container-title":"The Journal of Antimicrobial Chemotherapy","DOI":"10.1093/jac/dkab460","ISSN":"1460-2091","issue":"3","journalAbbreviation":"J Antimicrob Chemother","language":"eng","note":"PMID: 34918102\ntitleTranslation: ST59相关苯唑西林敏感mecA阳性金黄色葡萄球菌中bla系统的调控\nJCR分区: Q1\n中科院分区升级版: 医学2区\n影响因子: 3.9\n5年影响因子: 4.6","page":"604-614","source":"PubMed","title":"Regulation of bla system in ST59-related oxacillin-susceptible mecA-positive Staphylococcus aureus","volume":"77","author":[{"family":"Jian","given":"Ying"},{"family":"Li","given":"Tianming"},{"family":"Zhao","given":"Lin"},{"family":"Zhao","given":"Na"},{"family":"Liu","given":"Yao"},{"family":"Lv","given":"Huiying"},{"family":"Wang","given":"Ya'nan"},{"family":"Liu","given":"Qian"},{"family":"Li","given":"Min"}],"issued":{"date-parts":[["2022",2,23]]}}}],"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[9]</w:t>
            </w:r>
            <w:r>
              <w:rPr>
                <w:rFonts w:ascii="Times New Roman" w:hAnsi="Times New Roman" w:cs="Times New Roman"/>
                <w:sz w:val="24"/>
              </w:rPr>
              <w:fldChar w:fldCharType="end"/>
            </w:r>
          </w:p>
        </w:tc>
      </w:tr>
      <w:tr w14:paraId="75E774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08A5C831">
            <w:pPr>
              <w:widowControl/>
              <w:spacing w:line="240" w:lineRule="auto"/>
              <w:jc w:val="center"/>
              <w:rPr>
                <w:rFonts w:ascii="Times New Roman" w:hAnsi="Times New Roman" w:cs="Times New Roman"/>
                <w:sz w:val="24"/>
              </w:rPr>
            </w:pPr>
            <w:r>
              <w:rPr>
                <w:rFonts w:ascii="Times New Roman" w:hAnsi="Times New Roman" w:cs="Times New Roman"/>
                <w:sz w:val="24"/>
              </w:rPr>
              <w:t>mecA-R</w:t>
            </w:r>
          </w:p>
        </w:tc>
        <w:tc>
          <w:tcPr>
            <w:tcW w:w="2867" w:type="pct"/>
            <w:shd w:val="clear" w:color="auto" w:fill="auto"/>
            <w:vAlign w:val="center"/>
          </w:tcPr>
          <w:p w14:paraId="5AFDB393">
            <w:pPr>
              <w:widowControl/>
              <w:spacing w:line="240" w:lineRule="auto"/>
              <w:jc w:val="center"/>
              <w:rPr>
                <w:rFonts w:ascii="Times New Roman" w:hAnsi="Times New Roman" w:cs="Times New Roman"/>
                <w:sz w:val="24"/>
              </w:rPr>
            </w:pPr>
            <w:r>
              <w:rPr>
                <w:rFonts w:ascii="Times New Roman" w:hAnsi="Times New Roman" w:cs="Times New Roman"/>
                <w:color w:val="000000" w:themeColor="text1"/>
                <w:sz w:val="24"/>
                <w14:textFill>
                  <w14:solidFill>
                    <w14:schemeClr w14:val="tx1"/>
                  </w14:solidFill>
                </w14:textFill>
              </w:rPr>
              <w:t>AGTTCTGCAGTACCGGATTTGC</w:t>
            </w:r>
          </w:p>
        </w:tc>
        <w:tc>
          <w:tcPr>
            <w:tcW w:w="744" w:type="pct"/>
            <w:vMerge w:val="continue"/>
            <w:vAlign w:val="center"/>
          </w:tcPr>
          <w:p w14:paraId="51DEFBF2">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7274622E">
            <w:pPr>
              <w:widowControl/>
              <w:spacing w:line="240" w:lineRule="auto"/>
              <w:jc w:val="center"/>
              <w:rPr>
                <w:rFonts w:ascii="Times New Roman" w:hAnsi="Times New Roman" w:cs="Times New Roman"/>
                <w:sz w:val="24"/>
              </w:rPr>
            </w:pPr>
          </w:p>
        </w:tc>
      </w:tr>
      <w:tr w14:paraId="7AD6D9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5884019B">
            <w:pPr>
              <w:widowControl/>
              <w:spacing w:line="240" w:lineRule="auto"/>
              <w:jc w:val="center"/>
              <w:rPr>
                <w:rFonts w:ascii="Times New Roman" w:hAnsi="Times New Roman" w:cs="Times New Roman"/>
                <w:sz w:val="24"/>
              </w:rPr>
            </w:pPr>
            <w:r>
              <w:rPr>
                <w:rFonts w:ascii="Times New Roman" w:hAnsi="Times New Roman" w:cs="Times New Roman"/>
                <w:sz w:val="24"/>
              </w:rPr>
              <w:t>sasA-F</w:t>
            </w:r>
          </w:p>
        </w:tc>
        <w:tc>
          <w:tcPr>
            <w:tcW w:w="2867" w:type="pct"/>
            <w:shd w:val="clear" w:color="auto" w:fill="auto"/>
            <w:vAlign w:val="center"/>
          </w:tcPr>
          <w:p w14:paraId="5B3E7FE8">
            <w:pPr>
              <w:widowControl/>
              <w:spacing w:line="24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AGTCATAGTTTAGTGAGT-CAAGATAATCAAA</w:t>
            </w:r>
          </w:p>
        </w:tc>
        <w:tc>
          <w:tcPr>
            <w:tcW w:w="744" w:type="pct"/>
            <w:vMerge w:val="restart"/>
            <w:vAlign w:val="center"/>
          </w:tcPr>
          <w:p w14:paraId="07BDD701">
            <w:pPr>
              <w:widowControl/>
              <w:spacing w:line="240" w:lineRule="auto"/>
              <w:jc w:val="center"/>
              <w:rPr>
                <w:rFonts w:ascii="Times New Roman" w:hAnsi="Times New Roman" w:cs="Times New Roman"/>
                <w:sz w:val="24"/>
              </w:rPr>
            </w:pPr>
            <w:r>
              <w:rPr>
                <w:rFonts w:ascii="Times New Roman" w:hAnsi="Times New Roman" w:cs="Times New Roman"/>
                <w:sz w:val="24"/>
              </w:rPr>
              <w:t>-</w:t>
            </w:r>
          </w:p>
        </w:tc>
        <w:tc>
          <w:tcPr>
            <w:tcW w:w="717" w:type="pct"/>
            <w:vMerge w:val="restart"/>
            <w:shd w:val="clear" w:color="auto" w:fill="auto"/>
            <w:vAlign w:val="center"/>
          </w:tcPr>
          <w:p w14:paraId="18EDEE2C">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{"citationID":"DvFghDSy","properties":{"formattedCitation":"[10]","plainCitation":"[10]","noteIndex":0},"citationItems":[{"id":1850,"uris":["http://zotero.org/users/13841690/items/SI6KZBTH"],"itemData":{"id":1850,"type":"article-journal","abstract":"Staphylococcus aureus is a Gram-positive, commensal bacterium known to asymptomatically colonize the human skin, nares, and gastrointestinal tract. Colonized individuals are at increased risk for developing S. aureus infections, which range from mild skin and soft tissue infections to more severe diseases, such as endocarditis, bacteremia, sepsis, and osteomyelitis. Different virulence factors are required for S. aureus to infect different body sites. In this study, virulence gene expression was analyzed in two S. aureus isolates during nasal colonization, bacteremia and in the heart during sepsis. These models were chosen to represent the stepwise progression of S. aureus from an asymptomatic colonizer to an invasive pathogen. Expression of 23 putative S. aureus virulence determinants, representing protein and carbohydrate adhesins, secreted toxins, and proteins involved in metal cation acquisition and immune evasion were analyzed. Consistent upregulation of sdrC, fnbA, fhuD, sstD, and hla was observed in the shift between colonization and invasive pathogen, suggesting a prominent role for these genes in staphylococcal pathogenesis. Finally, gene expression data were correlated to the roles of the genes in pathogenesis by using knockout mutants in the animal models. These results provide insights into how S. aureus modifies virulence gene expression between commensal and invasive pathogens., Many bacteria, such as Staphylococcus aureus, asymptomatically colonize human skin and nasal passages but can also cause invasive diseases, such as bacteremia, pneumonia, sepsis, and osteomyelitis. The goal of this study was to analyze differences in the expression of selected S. aureus genes during a commensal lifestyle and as an invasive pathogen to gain insight into the commensal-to-pathogen transition and how a bacterial pathogen adapts to different environments within a host (e.g., from nasal colonization to invasive pathogen). The gene expression data were also used to select genes for which to construct knockout mutants to assess the role of several proteins in nasal colonization and lethal bacteremia. These results not only provide insight into the factors involved in S. aureus disease pathogenesis but also provide potential therapeutic targets.","container-title":"mBio","DOI":"10.1128/mBio.02272-14","ISSN":"2150-7511","issue":"1","journalAbbreviation":"mBio","note":"PMID: 25691592\nPMCID: PMC4337569\ntitleTranslation: 金黄色葡萄球菌毒力决定因子在定殖和致病过程中的差异表达及作用\nJCR分区: Q1\n中科院分区升级版: 生物学1区\n影响因子: 5.1\n5年影响因子: 5.9\n南农高质量: A","page":"e02272-14","source":"PubMed Central","title":"Differential Expression and Roles of Staphylococcus aureus Virulence Determinants during Colonization and Disease","volume":"6","author":[{"family":"Jenkins","given":"Amy"},{"family":"Diep","given":"Binh An"},{"family":"Mai","given":"Thuy T."},{"family":"Vo","given":"Nhung H."},{"family":"Warrener","given":"Paul"},{"family":"Suzich","given":"Joann"},{"family":"Stover","given":"C. Kendall"},{"family":"Sellman","given":"Bret R."}],"issued":{"date-parts":[["2015",2,17]]}}}],"schema":"https://github.com/citation-style-language/schema/raw/master/csl-citation.json"}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[10]</w:t>
            </w:r>
            <w:r>
              <w:rPr>
                <w:rFonts w:ascii="Times New Roman" w:hAnsi="Times New Roman" w:cs="Times New Roman"/>
                <w:sz w:val="24"/>
              </w:rPr>
              <w:fldChar w:fldCharType="end"/>
            </w:r>
          </w:p>
        </w:tc>
      </w:tr>
      <w:tr w14:paraId="763F60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2F80933D">
            <w:pPr>
              <w:widowControl/>
              <w:spacing w:line="240" w:lineRule="auto"/>
              <w:jc w:val="center"/>
              <w:rPr>
                <w:rFonts w:ascii="Times New Roman" w:hAnsi="Times New Roman" w:cs="Times New Roman"/>
                <w:sz w:val="24"/>
              </w:rPr>
            </w:pPr>
            <w:r>
              <w:rPr>
                <w:rFonts w:ascii="Times New Roman" w:hAnsi="Times New Roman" w:cs="Times New Roman"/>
                <w:sz w:val="24"/>
              </w:rPr>
              <w:t>sasA-R</w:t>
            </w:r>
          </w:p>
        </w:tc>
        <w:tc>
          <w:tcPr>
            <w:tcW w:w="2867" w:type="pct"/>
            <w:shd w:val="clear" w:color="auto" w:fill="auto"/>
            <w:vAlign w:val="center"/>
          </w:tcPr>
          <w:p w14:paraId="729D51AA">
            <w:pPr>
              <w:widowControl/>
              <w:spacing w:line="24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ATTTCTT-GTTACTTCATATTTAAAAGTTGTCG</w:t>
            </w:r>
          </w:p>
        </w:tc>
        <w:tc>
          <w:tcPr>
            <w:tcW w:w="744" w:type="pct"/>
            <w:vMerge w:val="continue"/>
            <w:vAlign w:val="center"/>
          </w:tcPr>
          <w:p w14:paraId="1852E40A">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3F032215">
            <w:pPr>
              <w:widowControl/>
              <w:spacing w:line="240" w:lineRule="auto"/>
              <w:jc w:val="center"/>
              <w:rPr>
                <w:rFonts w:ascii="Times New Roman" w:hAnsi="Times New Roman" w:cs="Times New Roman"/>
                <w:sz w:val="24"/>
              </w:rPr>
            </w:pPr>
          </w:p>
        </w:tc>
      </w:tr>
      <w:tr w14:paraId="636785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7C446DA8">
            <w:pPr>
              <w:widowControl/>
              <w:spacing w:line="240" w:lineRule="auto"/>
              <w:jc w:val="center"/>
              <w:rPr>
                <w:rFonts w:ascii="Times New Roman" w:hAnsi="Times New Roman" w:cs="Times New Roman"/>
                <w:sz w:val="24"/>
              </w:rPr>
            </w:pPr>
            <w:r>
              <w:rPr>
                <w:rFonts w:ascii="Times New Roman" w:hAnsi="Times New Roman" w:cs="Times New Roman"/>
                <w:sz w:val="24"/>
              </w:rPr>
              <w:t>sasC-F</w:t>
            </w:r>
          </w:p>
        </w:tc>
        <w:tc>
          <w:tcPr>
            <w:tcW w:w="2867" w:type="pct"/>
            <w:shd w:val="clear" w:color="auto" w:fill="auto"/>
            <w:vAlign w:val="center"/>
          </w:tcPr>
          <w:p w14:paraId="682FD238">
            <w:pPr>
              <w:widowControl/>
              <w:spacing w:line="24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GCAACGAATCAAGCATTGG</w:t>
            </w:r>
          </w:p>
        </w:tc>
        <w:tc>
          <w:tcPr>
            <w:tcW w:w="744" w:type="pct"/>
            <w:vMerge w:val="restart"/>
            <w:vAlign w:val="center"/>
          </w:tcPr>
          <w:p w14:paraId="0DA0A8DB">
            <w:pPr>
              <w:widowControl/>
              <w:spacing w:line="240" w:lineRule="auto"/>
              <w:jc w:val="center"/>
              <w:rPr>
                <w:rFonts w:ascii="Times New Roman" w:hAnsi="Times New Roman" w:cs="Times New Roman"/>
                <w:sz w:val="24"/>
              </w:rPr>
            </w:pPr>
            <w:r>
              <w:rPr>
                <w:rFonts w:ascii="Times New Roman" w:hAnsi="Times New Roman" w:cs="Times New Roman"/>
                <w:sz w:val="24"/>
              </w:rPr>
              <w:t>489</w:t>
            </w:r>
          </w:p>
        </w:tc>
        <w:tc>
          <w:tcPr>
            <w:tcW w:w="717" w:type="pct"/>
            <w:vMerge w:val="restart"/>
            <w:shd w:val="clear" w:color="auto" w:fill="auto"/>
            <w:vAlign w:val="center"/>
          </w:tcPr>
          <w:p w14:paraId="677A8C5C">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{"citationID":"Upy0Nd4y","properties":{"formattedCitation":"[3]","plainCitation":"[3]","noteIndex":0},"citationItems":[{"id":1887,"uris":["http://zotero.org/users/13841690/items/IJ5X9P2C"],"itemData":{"id":1887,"type":"article-journal","abstract":"OBJECTIVES: Biofilm -forming capacity of Staphylococcus aureus (S. aureus) as a commensal opportunistic bacterial species induce a growth in antibiotic resistance in chronic diseases. Since expression of biofilm- related genes and antibiotic resistance function are interdependent, the present study was an attempt to inquire biofilm formation and its relationship with antibiotic resistance in clinical isolates.\nMETHODS: 208 S. aureus clinical isolates from four major provinces of Iran were investigated in terms of presence of adhesion genes (icaA, icaD, icaB, icaC, fnbpA, fnbpB, clfA, clfB, cna, sasC, sasG and bap) using PCR. In addition, microtiter plate (Mtp) assay was performed to examine quantitative biofilm formation of the isolates and their antibiotic resistance patterns against 16 antibiotics determined upon CLSI criteria.\nRESULTS: The results revealed high prevalence rate (almost 100%) of icaADBC and MSCRAMMs genes in the isolates. Moreover, bap gene was not detected in any of the tested clinical isolates. Based on phenotypic method 169 isolates (81.25%) were also found to have biofilm formation ability. Among 208 isolates, 98 (47.12%) isolates were multidrug resistant (MDR). Vancomycin, linezolid, nitrofurantoin and quinupristin/dalfopristin were the most effective drugs against MDR strains. Furthermore, the findings demonstrated a significant relationship between MDR and biofilm forming capacity.\nCONCLUSION: Prevalence rate of adhesion- related genes was high in S. aureus from isolates in Iran ;so these genes might be expressed under certain conditions and cause emergence of MDR strains. Therefore, further investigations are necessary to prevent initial attachment based on new candidate adhesion genes for vaccine design.","container-title":"Journal of Global Antimicrobial Resistance","DOI":"10.1016/j.jgar.2020.02.025","ISSN":"2213-7173","journalAbbreviation":"J Glob Antimicrob Resist","language":"eng","note":"PMID: 32169685\ntitleTranslation: 来自不同患者和健康个体的金黄色葡萄球菌分离株的粘附相关基因和多药耐药模式之间存在协同关联\nJCR分区: Q2\n中科院分区升级版: 医学3区\n影响因子: 3.7\n5年影响因子: 3.8\n南农高质量: B","page":"379-385","source":"PubMed","title":"A synergistic association between adhesion-related genes and multidrug resistance patterns of Staphylococcus aureus isolates from different patients and healthy individuals","volume":"22","author":[{"family":"Parastan","given":"Raziey"},{"family":"Kargar","given":"Mohammad"},{"family":"Solhjoo","given":"Kavous"},{"family":"Kafilzadeh","given":"Farshid"}],"issued":{"date-parts":[["2020",9]]}}}],"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[3]</w:t>
            </w:r>
            <w:r>
              <w:rPr>
                <w:rFonts w:ascii="Times New Roman" w:hAnsi="Times New Roman" w:cs="Times New Roman"/>
                <w:sz w:val="24"/>
              </w:rPr>
              <w:fldChar w:fldCharType="end"/>
            </w:r>
          </w:p>
        </w:tc>
      </w:tr>
      <w:tr w14:paraId="77545CB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156A34ED">
            <w:pPr>
              <w:widowControl/>
              <w:spacing w:line="240" w:lineRule="auto"/>
              <w:jc w:val="center"/>
              <w:rPr>
                <w:rFonts w:ascii="Times New Roman" w:hAnsi="Times New Roman" w:cs="Times New Roman"/>
                <w:sz w:val="24"/>
              </w:rPr>
            </w:pPr>
            <w:r>
              <w:rPr>
                <w:rFonts w:ascii="Times New Roman" w:hAnsi="Times New Roman" w:cs="Times New Roman"/>
                <w:sz w:val="24"/>
              </w:rPr>
              <w:t>sasC-R</w:t>
            </w:r>
          </w:p>
        </w:tc>
        <w:tc>
          <w:tcPr>
            <w:tcW w:w="2867" w:type="pct"/>
            <w:shd w:val="clear" w:color="auto" w:fill="auto"/>
            <w:vAlign w:val="center"/>
          </w:tcPr>
          <w:p w14:paraId="267D32F4">
            <w:pPr>
              <w:widowControl/>
              <w:spacing w:line="24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TGACAGCACTTCGTTAGG</w:t>
            </w:r>
          </w:p>
        </w:tc>
        <w:tc>
          <w:tcPr>
            <w:tcW w:w="744" w:type="pct"/>
            <w:vMerge w:val="continue"/>
            <w:vAlign w:val="center"/>
          </w:tcPr>
          <w:p w14:paraId="2C187FBA">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42E8C82E">
            <w:pPr>
              <w:widowControl/>
              <w:spacing w:line="240" w:lineRule="auto"/>
              <w:jc w:val="center"/>
              <w:rPr>
                <w:rFonts w:ascii="Times New Roman" w:hAnsi="Times New Roman" w:cs="Times New Roman"/>
                <w:sz w:val="24"/>
              </w:rPr>
            </w:pPr>
          </w:p>
        </w:tc>
      </w:tr>
      <w:tr w14:paraId="37E2EE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7A7671D5">
            <w:pPr>
              <w:widowControl/>
              <w:spacing w:line="240" w:lineRule="auto"/>
              <w:jc w:val="center"/>
              <w:rPr>
                <w:rFonts w:ascii="Times New Roman" w:hAnsi="Times New Roman" w:cs="Times New Roman"/>
                <w:sz w:val="24"/>
              </w:rPr>
            </w:pPr>
            <w:r>
              <w:rPr>
                <w:rFonts w:ascii="Times New Roman" w:hAnsi="Times New Roman" w:cs="Times New Roman"/>
                <w:sz w:val="24"/>
              </w:rPr>
              <w:t>sasG-F</w:t>
            </w:r>
          </w:p>
        </w:tc>
        <w:tc>
          <w:tcPr>
            <w:tcW w:w="2867" w:type="pct"/>
            <w:shd w:val="clear" w:color="auto" w:fill="auto"/>
            <w:vAlign w:val="center"/>
          </w:tcPr>
          <w:p w14:paraId="2CF9FAFB">
            <w:pPr>
              <w:widowControl/>
              <w:spacing w:line="24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CAGAACGAGCTTTTCTAACC</w:t>
            </w:r>
          </w:p>
        </w:tc>
        <w:tc>
          <w:tcPr>
            <w:tcW w:w="744" w:type="pct"/>
            <w:vMerge w:val="restart"/>
            <w:vAlign w:val="center"/>
          </w:tcPr>
          <w:p w14:paraId="0D1E39BE">
            <w:pPr>
              <w:widowControl/>
              <w:spacing w:line="240" w:lineRule="auto"/>
              <w:jc w:val="center"/>
              <w:rPr>
                <w:rFonts w:ascii="Times New Roman" w:hAnsi="Times New Roman" w:cs="Times New Roman"/>
                <w:sz w:val="24"/>
              </w:rPr>
            </w:pPr>
            <w:r>
              <w:rPr>
                <w:rFonts w:ascii="Times New Roman" w:hAnsi="Times New Roman" w:cs="Times New Roman"/>
                <w:sz w:val="24"/>
              </w:rPr>
              <w:t>311</w:t>
            </w:r>
          </w:p>
        </w:tc>
        <w:tc>
          <w:tcPr>
            <w:tcW w:w="717" w:type="pct"/>
            <w:vMerge w:val="restart"/>
            <w:shd w:val="clear" w:color="auto" w:fill="auto"/>
            <w:vAlign w:val="center"/>
          </w:tcPr>
          <w:p w14:paraId="5B99D73C">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{"citationID":"8o4KYjgk","properties":{"formattedCitation":"[3]","plainCitation":"[3]","noteIndex":0},"citationItems":[{"id":1887,"uris":["http://zotero.org/users/13841690/items/IJ5X9P2C"],"itemData":{"id":1887,"type":"article-journal","abstract":"OBJECTIVES: Biofilm -forming capacity of Staphylococcus aureus (S. aureus) as a commensal opportunistic bacterial species induce a growth in antibiotic resistance in chronic diseases. Since expression of biofilm- related genes and antibiotic resistance function are interdependent, the present study was an attempt to inquire biofilm formation and its relationship with antibiotic resistance in clinical isolates.\nMETHODS: 208 S. aureus clinical isolates from four major provinces of Iran were investigated in terms of presence of adhesion genes (icaA, icaD, icaB, icaC, fnbpA, fnbpB, clfA, clfB, cna, sasC, sasG and bap) using PCR. In addition, microtiter plate (Mtp) assay was performed to examine quantitative biofilm formation of the isolates and their antibiotic resistance patterns against 16 antibiotics determined upon CLSI criteria.\nRESULTS: The results revealed high prevalence rate (almost 100%) of icaADBC and MSCRAMMs genes in the isolates. Moreover, bap gene was not detected in any of the tested clinical isolates. Based on phenotypic method 169 isolates (81.25%) were also found to have biofilm formation ability. Among 208 isolates, 98 (47.12%) isolates were multidrug resistant (MDR). Vancomycin, linezolid, nitrofurantoin and quinupristin/dalfopristin were the most effective drugs against MDR strains. Furthermore, the findings demonstrated a significant relationship between MDR and biofilm forming capacity.\nCONCLUSION: Prevalence rate of adhesion- related genes was high in S. aureus from isolates in Iran ;so these genes might be expressed under certain conditions and cause emergence of MDR strains. Therefore, further investigations are necessary to prevent initial attachment based on new candidate adhesion genes for vaccine design.","container-title":"Journal of Global Antimicrobial Resistance","DOI":"10.1016/j.jgar.2020.02.025","ISSN":"2213-7173","journalAbbreviation":"J Glob Antimicrob Resist","language":"eng","note":"PMID: 32169685\ntitleTranslation: 来自不同患者和健康个体的金黄色葡萄球菌分离株的粘附相关基因和多药耐药模式之间存在协同关联\nJCR分区: Q2\n中科院分区升级版: 医学3区\n影响因子: 3.7\n5年影响因子: 3.8\n南农高质量: B","page":"379-385","source":"PubMed","title":"A synergistic association between adhesion-related genes and multidrug resistance patterns of Staphylococcus aureus isolates from different patients and healthy individuals","volume":"22","author":[{"family":"Parastan","given":"Raziey"},{"family":"Kargar","given":"Mohammad"},{"family":"Solhjoo","given":"Kavous"},{"family":"Kafilzadeh","given":"Farshid"}],"issued":{"date-parts":[["2020",9]]}}}],"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[3]</w:t>
            </w:r>
            <w:r>
              <w:rPr>
                <w:rFonts w:ascii="Times New Roman" w:hAnsi="Times New Roman" w:cs="Times New Roman"/>
                <w:sz w:val="24"/>
              </w:rPr>
              <w:fldChar w:fldCharType="end"/>
            </w:r>
          </w:p>
        </w:tc>
      </w:tr>
      <w:tr w14:paraId="6E7CF8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17F36F5B">
            <w:pPr>
              <w:widowControl/>
              <w:spacing w:line="240" w:lineRule="auto"/>
              <w:jc w:val="center"/>
              <w:rPr>
                <w:rFonts w:ascii="Times New Roman" w:hAnsi="Times New Roman" w:cs="Times New Roman"/>
                <w:sz w:val="24"/>
              </w:rPr>
            </w:pPr>
            <w:r>
              <w:rPr>
                <w:rFonts w:ascii="Times New Roman" w:hAnsi="Times New Roman" w:cs="Times New Roman"/>
                <w:sz w:val="24"/>
              </w:rPr>
              <w:t>sasG-R</w:t>
            </w:r>
          </w:p>
        </w:tc>
        <w:tc>
          <w:tcPr>
            <w:tcW w:w="2867" w:type="pct"/>
            <w:shd w:val="clear" w:color="auto" w:fill="auto"/>
            <w:vAlign w:val="center"/>
          </w:tcPr>
          <w:p w14:paraId="7103B752">
            <w:pPr>
              <w:widowControl/>
              <w:spacing w:line="24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GTGTAATGGGATTATGGCAAG</w:t>
            </w:r>
          </w:p>
        </w:tc>
        <w:tc>
          <w:tcPr>
            <w:tcW w:w="744" w:type="pct"/>
            <w:vMerge w:val="continue"/>
            <w:vAlign w:val="center"/>
          </w:tcPr>
          <w:p w14:paraId="369CA6A5">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32B1EA79">
            <w:pPr>
              <w:widowControl/>
              <w:spacing w:line="240" w:lineRule="auto"/>
              <w:jc w:val="center"/>
              <w:rPr>
                <w:rFonts w:ascii="Times New Roman" w:hAnsi="Times New Roman" w:cs="Times New Roman"/>
                <w:sz w:val="24"/>
              </w:rPr>
            </w:pPr>
          </w:p>
        </w:tc>
      </w:tr>
      <w:tr w14:paraId="1C3FF6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4B4F7639">
            <w:pPr>
              <w:widowControl/>
              <w:spacing w:line="240" w:lineRule="auto"/>
              <w:jc w:val="center"/>
              <w:rPr>
                <w:rFonts w:ascii="Times New Roman" w:hAnsi="Times New Roman" w:cs="Times New Roman"/>
                <w:sz w:val="24"/>
              </w:rPr>
            </w:pPr>
            <w:r>
              <w:rPr>
                <w:rFonts w:ascii="Times New Roman" w:hAnsi="Times New Roman" w:cs="Times New Roman"/>
                <w:sz w:val="24"/>
              </w:rPr>
              <w:t>sasX-F</w:t>
            </w:r>
          </w:p>
        </w:tc>
        <w:tc>
          <w:tcPr>
            <w:tcW w:w="2867" w:type="pct"/>
            <w:shd w:val="clear" w:color="auto" w:fill="auto"/>
            <w:vAlign w:val="center"/>
          </w:tcPr>
          <w:p w14:paraId="42773C1A">
            <w:pPr>
              <w:widowControl/>
              <w:spacing w:line="24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AGAATTAGAAGTACGTCTAAATGC</w:t>
            </w:r>
          </w:p>
        </w:tc>
        <w:tc>
          <w:tcPr>
            <w:tcW w:w="744" w:type="pct"/>
            <w:vMerge w:val="restart"/>
            <w:vAlign w:val="center"/>
          </w:tcPr>
          <w:p w14:paraId="734991A7">
            <w:pPr>
              <w:widowControl/>
              <w:spacing w:line="240" w:lineRule="auto"/>
              <w:jc w:val="center"/>
              <w:rPr>
                <w:rFonts w:ascii="Times New Roman" w:hAnsi="Times New Roman" w:cs="Times New Roman"/>
                <w:sz w:val="24"/>
              </w:rPr>
            </w:pPr>
            <w:r>
              <w:rPr>
                <w:rFonts w:ascii="Times New Roman" w:hAnsi="Times New Roman" w:cs="Times New Roman"/>
                <w:sz w:val="24"/>
              </w:rPr>
              <w:t>522</w:t>
            </w:r>
          </w:p>
        </w:tc>
        <w:tc>
          <w:tcPr>
            <w:tcW w:w="717" w:type="pct"/>
            <w:vMerge w:val="restart"/>
            <w:shd w:val="clear" w:color="auto" w:fill="auto"/>
            <w:vAlign w:val="center"/>
          </w:tcPr>
          <w:p w14:paraId="68659632">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{"citationID":"833dtAWI","properties":{"formattedCitation":"[11]","plainCitation":"[11]","noteIndex":0},"citationItems":[{"id":1900,"uris":["http://zotero.org/users/13841690/items/2CRIYUF3"],"itemData":{"id":1900,"type":"article-journal","abstract":"OBJECTIVES: sasX is a colonization-virulence factor that potentially underlies the success of methicillin-resistant Staphylococcus aureus (MRSA) sequence type (ST) 239 in Asia. We aimed to study the spread of sasX and the population structure of MRSA in two geographically distinct regions, Europe and India.\nMETHODS: MRSA (n = 128) from screening and clinical samples from tertiary care patients in 12 European countries (n = 119), and from India (n = 9) were multilocus-sequence-typed and screened for sasX and its carrier φSPβ-like prophage by PCR. Whole genome sequencing was performed on sasX-harbouring strains from India (n = 5) and Europe (n = 2) and on a selection non-harbouring sasX (n = 36) (2 × 150 bp, Miseq, Illumina). Reads were mapped to the ST239 reference strain, TW20.\nRESULTS: sasX and sesI, a sasX homologue native to Staphylococcus epidermidis, were detected in five of the nine Indian MRSA belonging to ST239 and to other sequence types of CC8. In contrast, sasX was restricted to two ST239 strains in Europe. The intact sasX and sesI carrier φSPβ-like prophages were </w:instrText>
            </w:r>
            <w:r>
              <w:rPr>
                <w:rFonts w:ascii="Cambria Math" w:hAnsi="Cambria Math" w:cs="Cambria Math"/>
                <w:sz w:val="24"/>
              </w:rPr>
              <w:instrText xml:space="preserve">∼</w:instrText>
            </w:r>
            <w:r>
              <w:rPr>
                <w:rFonts w:ascii="Times New Roman" w:hAnsi="Times New Roman" w:cs="Times New Roman"/>
                <w:sz w:val="24"/>
              </w:rPr>
              <w:instrText xml:space="preserve">80 kb and </w:instrText>
            </w:r>
            <w:r>
              <w:rPr>
                <w:rFonts w:ascii="Cambria Math" w:hAnsi="Cambria Math" w:cs="Cambria Math"/>
                <w:sz w:val="24"/>
              </w:rPr>
              <w:instrText xml:space="preserve">∼</w:instrText>
            </w:r>
            <w:r>
              <w:rPr>
                <w:rFonts w:ascii="Times New Roman" w:hAnsi="Times New Roman" w:cs="Times New Roman"/>
                <w:sz w:val="24"/>
              </w:rPr>
              <w:instrText xml:space="preserve">118 kb, and integrated in the yeeE gene. We identified 'novel' ST239 clades in India and Serbia that showed significant differences in base substitution frequencies (0.130 and 0.007, respectively, Tamura-Nei model) (p &lt;0.05).\nCONCLUSIONS: Our data highlight dissemination of sasX to non-ST239 sequence types of CC8. Detection of the S. epidermidis-associated sesI in MRSA provided unquestionable evidence of transfer between the two species. Stark differences in evolutionary rates between the novel Indian and Serbian ST239 clades identified here might be due to inherent clade characteristics or influenced by other environmental differences such as antibiotic use.","container-title":"Clinical Microbiology and Infection: The Official Publication of the European Society of Clinical Microbiology and Infectious Diseases","DOI":"10.1016/j.cmi.2018.07.024","ISSN":"1469-0691","issue":"5","journalAbbreviation":"Clin Microbiol Infect","language":"eng","note":"PMID: 30076977\ntitleTranslation: 印度和欧洲在携带葡萄球菌表面蛋白sas X / ses I和耐甲氧西林金黄色葡萄球菌克隆复合体8的种群结构上存在显著的地理差异","page":"628.e1-628.e7","source":"PubMed","title":"Remarkable geographical variations between India and Europe in carriage of the staphylococcal surface protein-encoding sasX/sesI and in the population structure of methicillin-resistant Staphylococcus aureus belonging to clonal complex 8","volume":"25","author":[{"family":"De Backer","given":"S."},{"family":"Xavier","given":"B. B."},{"family":"Vanjari","given":"L."},{"family":"Coppens","given":"J."},{"family":"Lammens","given":"C."},{"family":"Vemu","given":"L."},{"family":"Carevic","given":"B."},{"family":"Hryniewicz","given":"W."},{"family":"Jorens","given":"P."},{"family":"Kumar-Singh","given":"S."},{"family":"Lee","given":"A."},{"family":"Harbarth","given":"S."},{"family":"Schrenzel","given":"J."},{"family":"Tacconelli","given":"E."},{"family":"Goossens","given":"H."},{"family":"Malhotra-Kumar","given":"S."}],"issued":{"date-parts":[["2019",5]]}}}],"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[11]</w:t>
            </w:r>
            <w:r>
              <w:rPr>
                <w:rFonts w:ascii="Times New Roman" w:hAnsi="Times New Roman" w:cs="Times New Roman"/>
                <w:sz w:val="24"/>
              </w:rPr>
              <w:fldChar w:fldCharType="end"/>
            </w:r>
          </w:p>
        </w:tc>
      </w:tr>
      <w:tr w14:paraId="0B0ECE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5CF27D21">
            <w:pPr>
              <w:widowControl/>
              <w:spacing w:line="240" w:lineRule="auto"/>
              <w:jc w:val="center"/>
              <w:rPr>
                <w:rFonts w:ascii="Times New Roman" w:hAnsi="Times New Roman" w:cs="Times New Roman"/>
                <w:sz w:val="24"/>
              </w:rPr>
            </w:pPr>
            <w:r>
              <w:rPr>
                <w:rFonts w:ascii="Times New Roman" w:hAnsi="Times New Roman" w:cs="Times New Roman"/>
                <w:sz w:val="24"/>
              </w:rPr>
              <w:t>sasX-R</w:t>
            </w:r>
          </w:p>
        </w:tc>
        <w:tc>
          <w:tcPr>
            <w:tcW w:w="2867" w:type="pct"/>
            <w:shd w:val="clear" w:color="auto" w:fill="auto"/>
            <w:vAlign w:val="center"/>
          </w:tcPr>
          <w:p w14:paraId="5DB7508D">
            <w:pPr>
              <w:widowControl/>
              <w:spacing w:line="24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GCTGATTATGTAAATGACTCAAATG</w:t>
            </w:r>
          </w:p>
        </w:tc>
        <w:tc>
          <w:tcPr>
            <w:tcW w:w="744" w:type="pct"/>
            <w:vMerge w:val="continue"/>
            <w:vAlign w:val="center"/>
          </w:tcPr>
          <w:p w14:paraId="5C9A0AD6">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1C9E96E0">
            <w:pPr>
              <w:widowControl/>
              <w:spacing w:line="240" w:lineRule="auto"/>
              <w:jc w:val="center"/>
              <w:rPr>
                <w:rFonts w:ascii="Times New Roman" w:hAnsi="Times New Roman" w:cs="Times New Roman"/>
                <w:sz w:val="24"/>
              </w:rPr>
            </w:pPr>
          </w:p>
        </w:tc>
      </w:tr>
      <w:tr w14:paraId="32CDFF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521F024E">
            <w:pPr>
              <w:widowControl/>
              <w:spacing w:line="240" w:lineRule="auto"/>
              <w:jc w:val="center"/>
              <w:rPr>
                <w:rFonts w:ascii="Times New Roman" w:hAnsi="Times New Roman" w:cs="Times New Roman"/>
                <w:sz w:val="24"/>
              </w:rPr>
            </w:pPr>
            <w:r>
              <w:rPr>
                <w:rFonts w:ascii="Times New Roman" w:hAnsi="Times New Roman" w:cs="Times New Roman"/>
                <w:sz w:val="24"/>
              </w:rPr>
              <w:t>isdA-F</w:t>
            </w:r>
          </w:p>
        </w:tc>
        <w:tc>
          <w:tcPr>
            <w:tcW w:w="2867" w:type="pct"/>
            <w:shd w:val="clear" w:color="auto" w:fill="auto"/>
            <w:vAlign w:val="center"/>
          </w:tcPr>
          <w:p w14:paraId="0AA840A8">
            <w:pPr>
              <w:widowControl/>
              <w:spacing w:line="24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CTG CGT CAG CTA ATG TAG GA</w:t>
            </w:r>
          </w:p>
        </w:tc>
        <w:tc>
          <w:tcPr>
            <w:tcW w:w="744" w:type="pct"/>
            <w:vMerge w:val="restart"/>
            <w:vAlign w:val="center"/>
          </w:tcPr>
          <w:p w14:paraId="73C52A18">
            <w:pPr>
              <w:widowControl/>
              <w:spacing w:line="240" w:lineRule="auto"/>
              <w:jc w:val="center"/>
              <w:rPr>
                <w:rFonts w:ascii="Times New Roman" w:hAnsi="Times New Roman" w:cs="Times New Roman"/>
                <w:sz w:val="24"/>
              </w:rPr>
            </w:pPr>
            <w:r>
              <w:rPr>
                <w:rFonts w:ascii="Times New Roman" w:hAnsi="Times New Roman" w:cs="Times New Roman"/>
                <w:sz w:val="24"/>
              </w:rPr>
              <w:t>332</w:t>
            </w:r>
          </w:p>
        </w:tc>
        <w:tc>
          <w:tcPr>
            <w:tcW w:w="717" w:type="pct"/>
            <w:vMerge w:val="restart"/>
            <w:shd w:val="clear" w:color="auto" w:fill="auto"/>
            <w:vAlign w:val="center"/>
          </w:tcPr>
          <w:p w14:paraId="6DECDC58">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{"citationID":"bldBbwb2","properties":{"formattedCitation":"[12]","plainCitation":"[12]","noteIndex":0},"citationItems":[{"id":1869,"uris":["http://zotero.org/users/13841690/items/ZCTPYZPF"],"itemData":{"id":1869,"type":"article-journal","abstract":"An extensive array of virulence factors associated with S. aureus has contributed significantly to its success as a major nosocomial pathogen in hospitals and community causing variety of infections in affected patients. Virulence factors include immune evading capsular polysaccharides, poly-N-acetyl glucosamine, and teichoic acid in addition to damaging toxins including hemolytic toxins, enterotoxins, cytotoxins, exfoliative toxin, and microbial surface components recognizing adhesive matrix molecules (MSCRAMM). In this investigation, 31 West Australian S. aureus isolates of human origin and 6 controls were analyzed for relative distribution of virulence-associated genes using PCR and/or an immunoassay kit and MSCRAMM by PCR-based typing. Genes encoding MSCRAMM, namely, Spa, ClfA, ClfB, SdrE, SdrD, IsdA, and IsdB, were detected in &gt;90% of isolates. Gene encoding α-toxin was detected in &gt;90% of isolates whereas genes encoding β-toxin and SEG were detectable in 50–60% of isolates. Genes encoding toxin proteins, namely, SEA, SEB, SEC, SED, SEE, SEH, SEI, SEJ, TSST, PVL, ETA, and ETB, were detectable in &gt;50% of isolates. Use of RAPD-PCR for determining the virulence factor-based genetic relatedness among the isolates revealed five cluster groups confirming genetic diversity among the MSSA isolates, with the greatest majority of the clinical S. aureus (84%) isolates clustering in group IIIa.","container-title":"BioMed Research International","DOI":"10.1155/2016/8651918","ISSN":"2314-6133","journalAbbreviation":"Biomed Res Int","note":"PMID: 27247944\nPMCID: PMC4876210\ntitleTranslation: 西澳大利亚人源甲氧西林敏感金黄色葡萄球菌分离株相关毒力因子的多样性\n影响因子: 2.6\n5年影响因子: 3.1\n南农高质量: C","page":"8651918","source":"PubMed Central","title":"Diversity of Virulence Factors Associated with West Australian Methicillin-Sensitive Staphylococcus aureus Isolates of Human Origin","volume":"2016","author":[{"family":"Waryah","given":"Charlene Babra"},{"family":"Gogoi-Tiwari","given":"Jully"},{"family":"Wells","given":"Kelsi"},{"family":"Eto","given":"Karina Yui"},{"family":"Masoumi","given":"Elnaz"},{"family":"Costantino","given":"Paul"},{"family":"Kotiw","given":"Michael"},{"family":"Mukkur","given":"Trilochan"}],"issued":{"date-parts":[["2016"]]}}}],"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[12]</w:t>
            </w:r>
            <w:r>
              <w:rPr>
                <w:rFonts w:ascii="Times New Roman" w:hAnsi="Times New Roman" w:cs="Times New Roman"/>
                <w:sz w:val="24"/>
              </w:rPr>
              <w:fldChar w:fldCharType="end"/>
            </w:r>
          </w:p>
        </w:tc>
      </w:tr>
      <w:tr w14:paraId="6067C9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23C047E9">
            <w:pPr>
              <w:widowControl/>
              <w:spacing w:line="240" w:lineRule="auto"/>
              <w:jc w:val="center"/>
              <w:rPr>
                <w:rFonts w:ascii="Times New Roman" w:hAnsi="Times New Roman" w:cs="Times New Roman"/>
                <w:sz w:val="24"/>
              </w:rPr>
            </w:pPr>
            <w:r>
              <w:rPr>
                <w:rFonts w:ascii="Times New Roman" w:hAnsi="Times New Roman" w:cs="Times New Roman"/>
                <w:sz w:val="24"/>
              </w:rPr>
              <w:t>isdA-R</w:t>
            </w:r>
          </w:p>
        </w:tc>
        <w:tc>
          <w:tcPr>
            <w:tcW w:w="2867" w:type="pct"/>
            <w:shd w:val="clear" w:color="auto" w:fill="auto"/>
            <w:vAlign w:val="center"/>
          </w:tcPr>
          <w:p w14:paraId="229389B7">
            <w:pPr>
              <w:widowControl/>
              <w:spacing w:line="24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TGG CTC TTC AGA GAA GTC AC</w:t>
            </w:r>
          </w:p>
        </w:tc>
        <w:tc>
          <w:tcPr>
            <w:tcW w:w="744" w:type="pct"/>
            <w:vMerge w:val="continue"/>
            <w:vAlign w:val="center"/>
          </w:tcPr>
          <w:p w14:paraId="111703AE">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3AF4E7A7">
            <w:pPr>
              <w:widowControl/>
              <w:spacing w:line="240" w:lineRule="auto"/>
              <w:jc w:val="center"/>
              <w:rPr>
                <w:rFonts w:ascii="Times New Roman" w:hAnsi="Times New Roman" w:cs="Times New Roman"/>
                <w:sz w:val="24"/>
              </w:rPr>
            </w:pPr>
          </w:p>
        </w:tc>
      </w:tr>
      <w:tr w14:paraId="401382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08A68F86">
            <w:pPr>
              <w:widowControl/>
              <w:spacing w:line="240" w:lineRule="auto"/>
              <w:jc w:val="center"/>
              <w:rPr>
                <w:rFonts w:ascii="Times New Roman" w:hAnsi="Times New Roman" w:cs="Times New Roman"/>
                <w:sz w:val="24"/>
              </w:rPr>
            </w:pPr>
            <w:r>
              <w:rPr>
                <w:rFonts w:ascii="Times New Roman" w:hAnsi="Times New Roman" w:cs="Times New Roman"/>
                <w:sz w:val="24"/>
              </w:rPr>
              <w:t>isdB-F</w:t>
            </w:r>
          </w:p>
        </w:tc>
        <w:tc>
          <w:tcPr>
            <w:tcW w:w="2867" w:type="pct"/>
            <w:shd w:val="clear" w:color="auto" w:fill="auto"/>
            <w:vAlign w:val="center"/>
          </w:tcPr>
          <w:p w14:paraId="78DCBB01">
            <w:pPr>
              <w:widowControl/>
              <w:spacing w:line="24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ACG AGA GTT TGG TGC GCT AT</w:t>
            </w:r>
          </w:p>
        </w:tc>
        <w:tc>
          <w:tcPr>
            <w:tcW w:w="744" w:type="pct"/>
            <w:vMerge w:val="restart"/>
            <w:vAlign w:val="center"/>
          </w:tcPr>
          <w:p w14:paraId="46FEFF76">
            <w:pPr>
              <w:widowControl/>
              <w:spacing w:line="240" w:lineRule="auto"/>
              <w:jc w:val="center"/>
              <w:rPr>
                <w:rFonts w:ascii="Times New Roman" w:hAnsi="Times New Roman" w:cs="Times New Roman"/>
                <w:sz w:val="24"/>
              </w:rPr>
            </w:pPr>
            <w:r>
              <w:rPr>
                <w:rFonts w:ascii="Times New Roman" w:hAnsi="Times New Roman" w:cs="Times New Roman"/>
                <w:sz w:val="24"/>
              </w:rPr>
              <w:t>192</w:t>
            </w:r>
          </w:p>
        </w:tc>
        <w:tc>
          <w:tcPr>
            <w:tcW w:w="717" w:type="pct"/>
            <w:vMerge w:val="restart"/>
            <w:shd w:val="clear" w:color="auto" w:fill="auto"/>
            <w:vAlign w:val="center"/>
          </w:tcPr>
          <w:p w14:paraId="3F9B3380">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{"citationID":"NfW3pkTu","properties":{"formattedCitation":"[12]","plainCitation":"[12]","noteIndex":0},"citationItems":[{"id":1869,"uris":["http://zotero.org/users/13841690/items/ZCTPYZPF"],"itemData":{"id":1869,"type":"article-journal","abstract":"An extensive array of virulence factors associated with S. aureus has contributed significantly to its success as a major nosocomial pathogen in hospitals and community causing variety of infections in affected patients. Virulence factors include immune evading capsular polysaccharides, poly-N-acetyl glucosamine, and teichoic acid in addition to damaging toxins including hemolytic toxins, enterotoxins, cytotoxins, exfoliative toxin, and microbial surface components recognizing adhesive matrix molecules (MSCRAMM). In this investigation, 31 West Australian S. aureus isolates of human origin and 6 controls were analyzed for relative distribution of virulence-associated genes using PCR and/or an immunoassay kit and MSCRAMM by PCR-based typing. Genes encoding MSCRAMM, namely, Spa, ClfA, ClfB, SdrE, SdrD, IsdA, and IsdB, were detected in &gt;90% of isolates. Gene encoding α-toxin was detected in &gt;90% of isolates whereas genes encoding β-toxin and SEG were detectable in 50–60% of isolates. Genes encoding toxin proteins, namely, SEA, SEB, SEC, SED, SEE, SEH, SEI, SEJ, TSST, PVL, ETA, and ETB, were detectable in &gt;50% of isolates. Use of RAPD-PCR for determining the virulence factor-based genetic relatedness among the isolates revealed five cluster groups confirming genetic diversity among the MSSA isolates, with the greatest majority of the clinical S. aureus (84%) isolates clustering in group IIIa.","container-title":"BioMed Research International","DOI":"10.1155/2016/8651918","ISSN":"2314-6133","journalAbbreviation":"Biomed Res Int","note":"PMID: 27247944\nPMCID: PMC4876210\ntitleTranslation: 西澳大利亚人源甲氧西林敏感金黄色葡萄球菌分离株相关毒力因子的多样性\n影响因子: 2.6\n5年影响因子: 3.1\n南农高质量: C","page":"8651918","source":"PubMed Central","title":"Diversity of Virulence Factors Associated with West Australian Methicillin-Sensitive Staphylococcus aureus Isolates of Human Origin","volume":"2016","author":[{"family":"Waryah","given":"Charlene Babra"},{"family":"Gogoi-Tiwari","given":"Jully"},{"family":"Wells","given":"Kelsi"},{"family":"Eto","given":"Karina Yui"},{"family":"Masoumi","given":"Elnaz"},{"family":"Costantino","given":"Paul"},{"family":"Kotiw","given":"Michael"},{"family":"Mukkur","given":"Trilochan"}],"issued":{"date-parts":[["2016"]]}}}],"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[12]</w:t>
            </w:r>
            <w:r>
              <w:rPr>
                <w:rFonts w:ascii="Times New Roman" w:hAnsi="Times New Roman" w:cs="Times New Roman"/>
                <w:sz w:val="24"/>
              </w:rPr>
              <w:fldChar w:fldCharType="end"/>
            </w:r>
          </w:p>
        </w:tc>
      </w:tr>
      <w:tr w14:paraId="458297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761C86B6">
            <w:pPr>
              <w:widowControl/>
              <w:spacing w:line="240" w:lineRule="auto"/>
              <w:jc w:val="center"/>
              <w:rPr>
                <w:rFonts w:ascii="Times New Roman" w:hAnsi="Times New Roman" w:cs="Times New Roman"/>
                <w:sz w:val="24"/>
              </w:rPr>
            </w:pPr>
            <w:r>
              <w:rPr>
                <w:rFonts w:ascii="Times New Roman" w:hAnsi="Times New Roman" w:cs="Times New Roman"/>
                <w:sz w:val="24"/>
              </w:rPr>
              <w:t>isdB-R</w:t>
            </w:r>
          </w:p>
        </w:tc>
        <w:tc>
          <w:tcPr>
            <w:tcW w:w="2867" w:type="pct"/>
            <w:shd w:val="clear" w:color="auto" w:fill="auto"/>
            <w:vAlign w:val="center"/>
          </w:tcPr>
          <w:p w14:paraId="3F68DDC4">
            <w:pPr>
              <w:widowControl/>
              <w:spacing w:line="24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GTT GAG GCC CCT ACT TCT GA</w:t>
            </w:r>
          </w:p>
        </w:tc>
        <w:tc>
          <w:tcPr>
            <w:tcW w:w="744" w:type="pct"/>
            <w:vMerge w:val="continue"/>
            <w:vAlign w:val="center"/>
          </w:tcPr>
          <w:p w14:paraId="3510868A">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560629E8">
            <w:pPr>
              <w:widowControl/>
              <w:spacing w:line="240" w:lineRule="auto"/>
              <w:jc w:val="center"/>
              <w:rPr>
                <w:rFonts w:ascii="Times New Roman" w:hAnsi="Times New Roman" w:cs="Times New Roman"/>
                <w:sz w:val="24"/>
              </w:rPr>
            </w:pPr>
          </w:p>
        </w:tc>
      </w:tr>
      <w:tr w14:paraId="3FA6050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7F4CD18C">
            <w:pPr>
              <w:widowControl/>
              <w:spacing w:line="240" w:lineRule="auto"/>
              <w:jc w:val="center"/>
              <w:rPr>
                <w:rFonts w:ascii="Times New Roman" w:hAnsi="Times New Roman" w:cs="Times New Roman"/>
                <w:sz w:val="24"/>
              </w:rPr>
            </w:pPr>
            <w:r>
              <w:rPr>
                <w:rFonts w:ascii="Times New Roman" w:hAnsi="Times New Roman" w:cs="Times New Roman"/>
                <w:sz w:val="24"/>
              </w:rPr>
              <w:t>efb-F</w:t>
            </w:r>
          </w:p>
        </w:tc>
        <w:tc>
          <w:tcPr>
            <w:tcW w:w="2867" w:type="pct"/>
            <w:shd w:val="clear" w:color="auto" w:fill="auto"/>
            <w:vAlign w:val="center"/>
          </w:tcPr>
          <w:p w14:paraId="410FE716">
            <w:pPr>
              <w:widowControl/>
              <w:spacing w:line="24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CGGTCCAAGAGAAAAGAAACCAGTGAG</w:t>
            </w:r>
          </w:p>
        </w:tc>
        <w:tc>
          <w:tcPr>
            <w:tcW w:w="744" w:type="pct"/>
            <w:vMerge w:val="restart"/>
            <w:vAlign w:val="center"/>
          </w:tcPr>
          <w:p w14:paraId="1A212151">
            <w:pPr>
              <w:widowControl/>
              <w:spacing w:line="240" w:lineRule="auto"/>
              <w:jc w:val="center"/>
              <w:rPr>
                <w:rFonts w:ascii="Times New Roman" w:hAnsi="Times New Roman" w:cs="Times New Roman"/>
                <w:sz w:val="24"/>
              </w:rPr>
            </w:pPr>
            <w:r>
              <w:rPr>
                <w:rFonts w:ascii="Times New Roman" w:hAnsi="Times New Roman" w:cs="Times New Roman"/>
                <w:sz w:val="24"/>
              </w:rPr>
              <w:t>276</w:t>
            </w:r>
          </w:p>
        </w:tc>
        <w:tc>
          <w:tcPr>
            <w:tcW w:w="717" w:type="pct"/>
            <w:vMerge w:val="restart"/>
            <w:shd w:val="clear" w:color="auto" w:fill="auto"/>
            <w:vAlign w:val="center"/>
          </w:tcPr>
          <w:p w14:paraId="0407F09A">
            <w:pPr>
              <w:widowControl/>
              <w:spacing w:line="240" w:lineRule="auto"/>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{"citationID":"erZGf8Df","properties":{"formattedCitation":"[6]","plainCitation":"[6]","noteIndex":0},"citationItems":[{"id":1296,"uris":["http://zotero.org/users/13841690/items/T3ARP92C"],"itemData":{"id":1296,"type":"article-journal","abstract":"Methicillin-resistant Staphylococcus aureus (MRSA) is responsible for hard-to-treat infections. The presence of 19 virulence genes in 120 MRSA isolates obtained from hospitalized patients and genetic relationships of these isolates were investigated. The eno (100%) and ebps (93.3%) genes encoding laminin- and elastin binding proteins, respectively, were ubiquitous. Other adhesion genes: fib (77.5%), fnbB (41.6%), bbp (40.8%), cna (30.8%) encoding proteins binding fibrinogen, fibronectin, bone sialoprotein and collagen, respectively, and map/eap (62.5%), encoding Eap, were also frequent. The etB and etD genes, encoding exfoliative toxins, were present in 15.6% and 12.5% isolates, respectively. The splA, splE and sspA, encoding serine protease were detected in 100%, 70.8% and 94.2% isolates, respectively. The tst gene, encoding toxic shock syndrome toxin-1 was found in 75% isolates. The cna, map/eap and tst genes were the most common in wound isolates and much less common in blood isolates. We identified 45 different spa types, t003 (21.7%) and t008 (18.8%) being the most common. The t003 was the most frequent among isolates from the respiratory tract (35.5%), while t008 in blood isolates (40%). Identification of virulence factors of MRSA is important for evaluation of pathogen transmission rate and disease development.","container-title":"Scientific Reports","DOI":"10.1038/s41598-022-09517-x","ISSN":"2045-2322","issue":"1","journalAbbreviation":"Sci. Rep.","language":"eng","note":"PMID: 35361858\nPMCID: PMC8971418\ntitleTranslation: 波兰住院患者不同感染来源的耐甲氧西林金黄色葡萄球菌毒力因子流行情况\nJCR分区: Q1\n中科院分区升级版: 综合性期刊2区\n影响因子: 3.8\n5年影响因子: 4.3","page":"5477","source":"PubMed","title":"The prevalence of virulence determinants in methicillin-resistant Staphylococcus aureus isolated from different infections in hospitalized patients in Poland","volume":"12","author":[{"family":"Kot","given":"Barbara"},{"family":"Piechota","given":"Małgorzata"},{"family":"Jakubczak","given":"Andrzej"},{"family":"Gryzińska","given":"Magdalena"},{"family":"Witeska","given":"Małgorzata"},{"family":"Grużewska","given":"Agata"},{"family":"Baran","given":"Katarzyna"},{"family":"Denkiewicz","given":"Paulina"}],"issued":{"date-parts":[["2022",3,31]]}}}],"schema":"https://github.com/citation-style-language/schema/raw/master/csl-citation.json"} </w:instrText>
            </w:r>
            <w:r>
              <w:rPr>
                <w:rFonts w:ascii="Times New Roman" w:hAnsi="Times New Roman" w:cs="Times New Roman"/>
                <w:sz w:val="24"/>
              </w:rPr>
              <w:fldChar w:fldCharType="separate"/>
            </w:r>
            <w:r>
              <w:rPr>
                <w:rFonts w:hint="eastAsia" w:ascii="Times New Roman" w:hAnsi="Times New Roman" w:cs="Times New Roman"/>
                <w:sz w:val="24"/>
              </w:rPr>
              <w:t>[6]</w:t>
            </w:r>
            <w:r>
              <w:rPr>
                <w:rFonts w:ascii="Times New Roman" w:hAnsi="Times New Roman" w:cs="Times New Roman"/>
                <w:sz w:val="24"/>
              </w:rPr>
              <w:fldChar w:fldCharType="end"/>
            </w:r>
          </w:p>
        </w:tc>
      </w:tr>
      <w:tr w14:paraId="1AC428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pct"/>
            <w:shd w:val="clear" w:color="auto" w:fill="auto"/>
            <w:vAlign w:val="center"/>
          </w:tcPr>
          <w:p w14:paraId="3BD6A4B4">
            <w:pPr>
              <w:widowControl/>
              <w:spacing w:line="240" w:lineRule="auto"/>
              <w:jc w:val="center"/>
              <w:rPr>
                <w:rFonts w:ascii="Times New Roman" w:hAnsi="Times New Roman" w:cs="Times New Roman"/>
                <w:sz w:val="24"/>
              </w:rPr>
            </w:pPr>
            <w:r>
              <w:rPr>
                <w:rFonts w:ascii="Times New Roman" w:hAnsi="Times New Roman" w:cs="Times New Roman"/>
                <w:sz w:val="24"/>
              </w:rPr>
              <w:t>efb-R</w:t>
            </w:r>
          </w:p>
        </w:tc>
        <w:tc>
          <w:tcPr>
            <w:tcW w:w="2867" w:type="pct"/>
            <w:shd w:val="clear" w:color="auto" w:fill="auto"/>
            <w:vAlign w:val="center"/>
          </w:tcPr>
          <w:p w14:paraId="347961B0">
            <w:pPr>
              <w:widowControl/>
              <w:spacing w:line="24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TGTGCTTTTCTGTGTGCACTGACAGTATG</w:t>
            </w:r>
          </w:p>
        </w:tc>
        <w:tc>
          <w:tcPr>
            <w:tcW w:w="744" w:type="pct"/>
            <w:vMerge w:val="continue"/>
            <w:vAlign w:val="center"/>
          </w:tcPr>
          <w:p w14:paraId="2FA55DAD">
            <w:pPr>
              <w:widowControl/>
              <w:spacing w:line="240" w:lineRule="auto"/>
              <w:jc w:val="center"/>
              <w:rPr>
                <w:rFonts w:ascii="Times New Roman" w:hAnsi="Times New Roman" w:cs="Times New Roman"/>
                <w:sz w:val="24"/>
              </w:rPr>
            </w:pPr>
          </w:p>
        </w:tc>
        <w:tc>
          <w:tcPr>
            <w:tcW w:w="717" w:type="pct"/>
            <w:vMerge w:val="continue"/>
            <w:shd w:val="clear" w:color="auto" w:fill="auto"/>
            <w:vAlign w:val="center"/>
          </w:tcPr>
          <w:p w14:paraId="76078D49">
            <w:pPr>
              <w:widowControl/>
              <w:spacing w:line="240" w:lineRule="auto"/>
              <w:jc w:val="center"/>
              <w:rPr>
                <w:rFonts w:ascii="Times New Roman" w:hAnsi="Times New Roman" w:cs="Times New Roman"/>
                <w:sz w:val="24"/>
                <w:highlight w:val="yellow"/>
              </w:rPr>
            </w:pPr>
          </w:p>
        </w:tc>
      </w:tr>
    </w:tbl>
    <w:p w14:paraId="301F5DD2">
      <w:pPr>
        <w:pStyle w:val="2"/>
        <w:spacing w:line="240" w:lineRule="auto"/>
        <w:ind w:firstLine="0" w:firstLineChars="0"/>
        <w:rPr>
          <w:rFonts w:ascii="Times New Roman" w:hAnsi="Times New Roman" w:cs="Times New Roman"/>
          <w:sz w:val="24"/>
        </w:rPr>
      </w:pPr>
    </w:p>
    <w:p w14:paraId="68ABF652">
      <w:pPr>
        <w:pStyle w:val="2"/>
        <w:spacing w:line="240" w:lineRule="auto"/>
        <w:ind w:firstLine="0" w:firstLineChars="0"/>
        <w:rPr>
          <w:rFonts w:ascii="Times New Roman" w:hAnsi="Times New Roman" w:cs="Times New Roman"/>
          <w:sz w:val="24"/>
        </w:rPr>
      </w:pPr>
    </w:p>
    <w:p w14:paraId="2F718285">
      <w:pPr>
        <w:spacing w:line="240" w:lineRule="auto"/>
        <w:jc w:val="left"/>
        <w:rPr>
          <w:rFonts w:hint="eastAsia" w:ascii="Times New Roman" w:hAnsi="Times New Roman" w:cs="Times New Roman"/>
          <w:b/>
          <w:bCs/>
          <w:sz w:val="24"/>
        </w:rPr>
      </w:pPr>
      <w:r>
        <w:rPr>
          <w:rFonts w:ascii="Times New Roman" w:hAnsi="Times New Roman" w:cs="Times New Roman"/>
          <w:b/>
          <w:bCs/>
          <w:sz w:val="24"/>
        </w:rPr>
        <w:t>REFERENCES</w:t>
      </w:r>
    </w:p>
    <w:p w14:paraId="66665979">
      <w:pPr>
        <w:pStyle w:val="12"/>
        <w:spacing w:line="240" w:lineRule="auto"/>
        <w:rPr>
          <w:rFonts w:ascii="Times New Roman" w:hAnsi="Times New Roman" w:cs="Times New Roman"/>
          <w:sz w:val="24"/>
        </w:rPr>
      </w:pPr>
      <w:r>
        <w:fldChar w:fldCharType="begin"/>
      </w:r>
      <w:r>
        <w:rPr>
          <w:rFonts w:hint="eastAsia"/>
        </w:rPr>
        <w:instrText xml:space="preserve"> ADDIN ZOTERO_BIBL {"uncited":[],"omitted":[],"custom":[]} CSL_BIBLIOGRAPHY </w:instrText>
      </w:r>
      <w:r>
        <w:fldChar w:fldCharType="separate"/>
      </w:r>
      <w:r>
        <w:rPr>
          <w:rFonts w:ascii="Times New Roman" w:hAnsi="Times New Roman" w:cs="Times New Roman"/>
          <w:sz w:val="24"/>
        </w:rPr>
        <w:t xml:space="preserve">1. Enright MC, Day NP, Davies CE, Peacock SJ, Spratt BG. Multilocus sequence typing for characterization of methicillin-resistant and methicillin-susceptible clones of Staphylococcus aureus. J Clin Microbiol. 2000;38:1008–15. </w:t>
      </w:r>
    </w:p>
    <w:p w14:paraId="7F836E04">
      <w:pPr>
        <w:pStyle w:val="12"/>
        <w:spacing w:line="240" w:lineRule="auto"/>
        <w:rPr>
          <w:rFonts w:ascii="Times New Roman" w:hAnsi="Times New Roman" w:cs="Times New Roman"/>
          <w:sz w:val="24"/>
        </w:rPr>
      </w:pPr>
      <w:r>
        <w:rPr>
          <w:rFonts w:ascii="Times New Roman" w:hAnsi="Times New Roman" w:cs="Times New Roman"/>
          <w:sz w:val="24"/>
        </w:rPr>
        <w:t xml:space="preserve">2. Strommenger B, Kettlitz C, Weniger T, Harmsen D, Friedrich AW, Witte W. Assignment of Staphylococcus isolates to groups by spa typing, SmaI macrorestriction analysis, and multilocus sequence typing. J Clin Microbiol. 2006;44:2533–40. </w:t>
      </w:r>
    </w:p>
    <w:p w14:paraId="70208157">
      <w:pPr>
        <w:pStyle w:val="12"/>
        <w:spacing w:line="240" w:lineRule="auto"/>
        <w:rPr>
          <w:rFonts w:ascii="Times New Roman" w:hAnsi="Times New Roman" w:cs="Times New Roman"/>
          <w:sz w:val="24"/>
        </w:rPr>
      </w:pPr>
      <w:r>
        <w:rPr>
          <w:rFonts w:ascii="Times New Roman" w:hAnsi="Times New Roman" w:cs="Times New Roman"/>
          <w:sz w:val="24"/>
        </w:rPr>
        <w:t xml:space="preserve">3. Parastan R, Kargar M, Solhjoo K, Kafilzadeh F. A synergistic association between adhesion-related genes and multidrug resistance patterns of Staphylococcus aureus isolates from different patients and healthy individuals. J Glob Antimicrob Resist. 2020;22:379–85. </w:t>
      </w:r>
    </w:p>
    <w:p w14:paraId="2A0EEA68">
      <w:pPr>
        <w:pStyle w:val="12"/>
        <w:spacing w:line="240" w:lineRule="auto"/>
        <w:rPr>
          <w:rFonts w:ascii="Times New Roman" w:hAnsi="Times New Roman" w:cs="Times New Roman"/>
          <w:sz w:val="24"/>
        </w:rPr>
      </w:pPr>
      <w:r>
        <w:rPr>
          <w:rFonts w:ascii="Times New Roman" w:hAnsi="Times New Roman" w:cs="Times New Roman"/>
          <w:sz w:val="24"/>
        </w:rPr>
        <w:t xml:space="preserve">4. Azara E, Longheu C, Sanna G, Tola S. Biofilm formation and virulence factor analysis of Staphylococcus aureus isolates collected from ovine mastitis. J Appl Microbiol. 2017;123:372–9. </w:t>
      </w:r>
    </w:p>
    <w:p w14:paraId="19435EBE">
      <w:pPr>
        <w:pStyle w:val="12"/>
        <w:spacing w:line="240" w:lineRule="auto"/>
        <w:rPr>
          <w:rFonts w:ascii="Times New Roman" w:hAnsi="Times New Roman" w:cs="Times New Roman"/>
          <w:sz w:val="24"/>
        </w:rPr>
      </w:pPr>
      <w:r>
        <w:rPr>
          <w:rFonts w:ascii="Times New Roman" w:hAnsi="Times New Roman" w:cs="Times New Roman"/>
          <w:sz w:val="24"/>
        </w:rPr>
        <w:t xml:space="preserve">5. Lina G, Piémont Y, Godail-Gamot F, Bes M, Peter MO, Gauduchon V, et al. Involvement of Panton-Valentine leukocidin-producing Staphylococcus aureus in primary skin infections and pneumonia. Clinical Infectious Diseases: An Official Publication of the Infectious Diseases Society of America. 1999;29:1128–32. </w:t>
      </w:r>
    </w:p>
    <w:p w14:paraId="48965306">
      <w:pPr>
        <w:pStyle w:val="12"/>
        <w:spacing w:line="240" w:lineRule="auto"/>
        <w:rPr>
          <w:rFonts w:ascii="Times New Roman" w:hAnsi="Times New Roman" w:cs="Times New Roman"/>
          <w:sz w:val="24"/>
        </w:rPr>
      </w:pPr>
      <w:r>
        <w:rPr>
          <w:rFonts w:ascii="Times New Roman" w:hAnsi="Times New Roman" w:cs="Times New Roman"/>
          <w:sz w:val="24"/>
        </w:rPr>
        <w:t xml:space="preserve">6. Kot B, Piechota M, Jakubczak A, Gryzińska M, Witeska M, Grużewska A, et al. The prevalence of virulence determinants in methicillin-resistant Staphylococcus aureus isolated from different infections in hospitalized patients in Poland. Sci Rep. 2022;12:5477. </w:t>
      </w:r>
    </w:p>
    <w:p w14:paraId="49FBE944">
      <w:pPr>
        <w:pStyle w:val="12"/>
        <w:spacing w:line="240" w:lineRule="auto"/>
        <w:rPr>
          <w:rFonts w:ascii="Times New Roman" w:hAnsi="Times New Roman" w:cs="Times New Roman"/>
          <w:sz w:val="24"/>
        </w:rPr>
      </w:pPr>
      <w:r>
        <w:rPr>
          <w:rFonts w:ascii="Times New Roman" w:hAnsi="Times New Roman" w:cs="Times New Roman"/>
          <w:sz w:val="24"/>
        </w:rPr>
        <w:t xml:space="preserve">7. Jarraud S, Mougel C, Thioulouse J, Lina G, Meugnier H, Forey F, et al. Relationships between Staphylococcus aureus genetic background, virulence factors, agr groups (alleles), and human disease. Infect Immun. 2002;70:631–41. </w:t>
      </w:r>
    </w:p>
    <w:p w14:paraId="6030B89B">
      <w:pPr>
        <w:pStyle w:val="12"/>
        <w:spacing w:line="240" w:lineRule="auto"/>
        <w:rPr>
          <w:rFonts w:ascii="Times New Roman" w:hAnsi="Times New Roman" w:cs="Times New Roman"/>
          <w:sz w:val="24"/>
        </w:rPr>
      </w:pPr>
      <w:r>
        <w:rPr>
          <w:rFonts w:ascii="Times New Roman" w:hAnsi="Times New Roman" w:cs="Times New Roman"/>
          <w:sz w:val="24"/>
        </w:rPr>
        <w:t xml:space="preserve">8. Lin T, Li Q, Jin D, Liu W, Tang C, Zhang X. Investigation of Virulence Genes of Staphylococcus aureus Isolated from Sterile Body Fluid Samples and Their Correlation with Clinical Symptoms and Outcomes. The Canadian Journal of Infectious Diseases &amp; Medical Microbiology = Journal Canadien Des Maladies Infectieuses Et De La Microbiologie Medicale. 2021;2021:5354747. </w:t>
      </w:r>
    </w:p>
    <w:p w14:paraId="48270985">
      <w:pPr>
        <w:pStyle w:val="12"/>
        <w:spacing w:line="240" w:lineRule="auto"/>
        <w:rPr>
          <w:rFonts w:ascii="Times New Roman" w:hAnsi="Times New Roman" w:cs="Times New Roman"/>
          <w:sz w:val="24"/>
        </w:rPr>
      </w:pPr>
      <w:r>
        <w:rPr>
          <w:rFonts w:ascii="Times New Roman" w:hAnsi="Times New Roman" w:cs="Times New Roman"/>
          <w:sz w:val="24"/>
        </w:rPr>
        <w:t xml:space="preserve">9. Jian Y, Li T, Zhao L, Zhao N, Liu Y, Lv H, et al. Regulation of bla system in ST59-related oxacillin-susceptible mecA-positive Staphylococcus aureus. J Antimicrob Chemother. 2022;77:604–14. </w:t>
      </w:r>
    </w:p>
    <w:p w14:paraId="1CA50CC9">
      <w:pPr>
        <w:pStyle w:val="12"/>
        <w:spacing w:line="240" w:lineRule="auto"/>
        <w:rPr>
          <w:rFonts w:ascii="Times New Roman" w:hAnsi="Times New Roman" w:cs="Times New Roman"/>
          <w:sz w:val="24"/>
        </w:rPr>
      </w:pPr>
      <w:r>
        <w:rPr>
          <w:rFonts w:ascii="Times New Roman" w:hAnsi="Times New Roman" w:cs="Times New Roman"/>
          <w:sz w:val="24"/>
        </w:rPr>
        <w:t xml:space="preserve">10. Jenkins A, Diep BA, Mai TT, Vo NH, Warrener P, Suzich J, et al. Differential Expression and Roles of Staphylococcus aureus Virulence Determinants during Colonization and Disease. mBio. 2015;6:e02272-14. </w:t>
      </w:r>
    </w:p>
    <w:p w14:paraId="02E829DB">
      <w:pPr>
        <w:pStyle w:val="12"/>
        <w:spacing w:line="240" w:lineRule="auto"/>
        <w:rPr>
          <w:rFonts w:ascii="Times New Roman" w:hAnsi="Times New Roman" w:cs="Times New Roman"/>
          <w:sz w:val="24"/>
        </w:rPr>
      </w:pPr>
      <w:r>
        <w:rPr>
          <w:rFonts w:ascii="Times New Roman" w:hAnsi="Times New Roman" w:cs="Times New Roman"/>
          <w:sz w:val="24"/>
        </w:rPr>
        <w:t xml:space="preserve">11. De Backer S, Xavier BB, Vanjari L, Coppens J, Lammens C, Vemu L, et al. Remarkable geographical variations between India and Europe in carriage of the staphylococcal surface protein-encoding sasX/sesI and in the population structure of methicillin-resistant Staphylococcus aureus belonging to clonal complex 8. Clin Microbiol Infect. 2019;25:628.e1-628.e7. </w:t>
      </w:r>
    </w:p>
    <w:p w14:paraId="1F9A57D4">
      <w:pPr>
        <w:pStyle w:val="12"/>
        <w:spacing w:line="240" w:lineRule="auto"/>
        <w:rPr>
          <w:rFonts w:ascii="Times New Roman" w:hAnsi="Times New Roman" w:cs="Times New Roman"/>
          <w:sz w:val="24"/>
        </w:rPr>
      </w:pPr>
      <w:r>
        <w:rPr>
          <w:rFonts w:ascii="Times New Roman" w:hAnsi="Times New Roman" w:cs="Times New Roman"/>
          <w:sz w:val="24"/>
        </w:rPr>
        <w:t xml:space="preserve">12. Waryah CB, Gogoi-Tiwari J, Wells K, Eto KY, Masoumi E, Costantino P, et al. Diversity of Virulence Factors Associated with West Australian Methicillin-Sensitive Staphylococcus aureus Isolates of Human Origin. Biomed Res Int. 2016;2016:8651918. </w:t>
      </w:r>
    </w:p>
    <w:p w14:paraId="25B0FAAB">
      <w:pPr>
        <w:pStyle w:val="2"/>
        <w:spacing w:line="240" w:lineRule="auto"/>
        <w:ind w:firstLine="480"/>
        <w:rPr>
          <w:rFonts w:ascii="Times New Roman" w:hAnsi="Times New Roman" w:cs="Times New Roman"/>
          <w:sz w:val="24"/>
        </w:rPr>
      </w:pPr>
      <w:r>
        <w:rPr>
          <w:rFonts w:ascii="Times New Roman" w:hAnsi="Times New Roman" w:cs="Times New Roman"/>
          <w:sz w:val="24"/>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4B5"/>
    <w:rsid w:val="00010E69"/>
    <w:rsid w:val="00015430"/>
    <w:rsid w:val="000A249A"/>
    <w:rsid w:val="000A7961"/>
    <w:rsid w:val="000B371F"/>
    <w:rsid w:val="000C3D8C"/>
    <w:rsid w:val="000F44E6"/>
    <w:rsid w:val="00114CF5"/>
    <w:rsid w:val="002503C0"/>
    <w:rsid w:val="002C6FCC"/>
    <w:rsid w:val="002E3BBB"/>
    <w:rsid w:val="00303214"/>
    <w:rsid w:val="00384D00"/>
    <w:rsid w:val="003B659B"/>
    <w:rsid w:val="003D5020"/>
    <w:rsid w:val="006620F8"/>
    <w:rsid w:val="00671DC8"/>
    <w:rsid w:val="006920AE"/>
    <w:rsid w:val="006F2CCD"/>
    <w:rsid w:val="007468FE"/>
    <w:rsid w:val="007A61C6"/>
    <w:rsid w:val="00866B3C"/>
    <w:rsid w:val="00984EF0"/>
    <w:rsid w:val="009A56C6"/>
    <w:rsid w:val="00A102FD"/>
    <w:rsid w:val="00A83E85"/>
    <w:rsid w:val="00AE0F0C"/>
    <w:rsid w:val="00B62A34"/>
    <w:rsid w:val="00B97E28"/>
    <w:rsid w:val="00C67BC8"/>
    <w:rsid w:val="00C72CA1"/>
    <w:rsid w:val="00D504B5"/>
    <w:rsid w:val="00E85EAF"/>
    <w:rsid w:val="00EE289C"/>
    <w:rsid w:val="00EE69F4"/>
    <w:rsid w:val="00F0132F"/>
    <w:rsid w:val="00F71E94"/>
    <w:rsid w:val="00F740E4"/>
    <w:rsid w:val="00F75304"/>
    <w:rsid w:val="00F77818"/>
    <w:rsid w:val="05C36593"/>
    <w:rsid w:val="39565B9D"/>
    <w:rsid w:val="3A810660"/>
    <w:rsid w:val="59CD7C0D"/>
    <w:rsid w:val="60A717E6"/>
    <w:rsid w:val="61352082"/>
    <w:rsid w:val="67E95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paragraph" w:customStyle="1" w:styleId="7">
    <w:name w:val="书目1"/>
    <w:basedOn w:val="1"/>
    <w:next w:val="1"/>
    <w:unhideWhenUsed/>
    <w:qFormat/>
    <w:uiPriority w:val="37"/>
    <w:pPr>
      <w:tabs>
        <w:tab w:val="left" w:pos="384"/>
      </w:tabs>
      <w:spacing w:after="240" w:line="480" w:lineRule="auto"/>
      <w:ind w:left="384" w:hanging="384"/>
    </w:pPr>
  </w:style>
  <w:style w:type="character" w:customStyle="1" w:styleId="8">
    <w:name w:val="页眉 字符"/>
    <w:basedOn w:val="6"/>
    <w:link w:val="4"/>
    <w:qFormat/>
    <w:uiPriority w:val="99"/>
    <w:rPr>
      <w:rFonts w:asciiTheme="minorHAnsi" w:hAnsiTheme="minorHAnsi" w:eastAsiaTheme="minorEastAsia" w:cstheme="minorBidi"/>
      <w:kern w:val="2"/>
      <w:sz w:val="18"/>
      <w:szCs w:val="18"/>
    </w:rPr>
  </w:style>
  <w:style w:type="character" w:customStyle="1" w:styleId="9">
    <w:name w:val="页脚 字符"/>
    <w:basedOn w:val="6"/>
    <w:link w:val="3"/>
    <w:qFormat/>
    <w:uiPriority w:val="99"/>
    <w:rPr>
      <w:rFonts w:asciiTheme="minorHAnsi" w:hAnsiTheme="minorHAnsi" w:eastAsiaTheme="minorEastAsia" w:cstheme="minorBidi"/>
      <w:kern w:val="2"/>
      <w:sz w:val="18"/>
      <w:szCs w:val="18"/>
    </w:rPr>
  </w:style>
  <w:style w:type="paragraph" w:customStyle="1" w:styleId="10">
    <w:name w:val="书目2"/>
    <w:basedOn w:val="1"/>
    <w:next w:val="1"/>
    <w:unhideWhenUsed/>
    <w:qFormat/>
    <w:uiPriority w:val="37"/>
  </w:style>
  <w:style w:type="paragraph" w:customStyle="1" w:styleId="11">
    <w:name w:val="书目3"/>
    <w:basedOn w:val="1"/>
    <w:next w:val="1"/>
    <w:unhideWhenUsed/>
    <w:qFormat/>
    <w:uiPriority w:val="37"/>
  </w:style>
  <w:style w:type="paragraph" w:customStyle="1" w:styleId="12">
    <w:name w:val="Bibliography"/>
    <w:basedOn w:val="1"/>
    <w:next w:val="1"/>
    <w:unhideWhenUsed/>
    <w:qFormat/>
    <w:uiPriority w:val="37"/>
    <w:pPr>
      <w:spacing w:after="24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768</Words>
  <Characters>6023</Characters>
  <Lines>1056</Lines>
  <Paragraphs>297</Paragraphs>
  <TotalTime>193</TotalTime>
  <ScaleCrop>false</ScaleCrop>
  <LinksUpToDate>false</LinksUpToDate>
  <CharactersWithSpaces>6497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2025-01-01T07:40:00Z</dcterms:created>
  <dc:creator>椰菜 花</dc:creator>
  <cp:lastModifiedBy>小雨</cp:lastModifiedBy>
  <dcterms:modified xsi:type="dcterms:W3CDTF">2025-06-02T06:51:39Z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eyJoZGlkIjoiNDdjZDYyZWJkZThjNzY1Y2QxN2RhMmRlZjQyN2E5ZDQiLCJ1c2VySWQiOiI0MzI5OTM0NzAifQ==</vt:lpwstr>
  </property>
  <property fmtid="{D5CDD505-2E9C-101B-9397-08002B2CF9AE}" pid="3" name="KSOProductBuildVer">
    <vt:lpwstr>2052-12.1.0.21171</vt:lpwstr>
  </property>
  <property fmtid="{D5CDD505-2E9C-101B-9397-08002B2CF9AE}" pid="4" name="ICV">
    <vt:lpwstr>C1FE22F603FB49EE80ECCE51F464C18C_12</vt:lpwstr>
  </property>
  <property fmtid="{D5CDD505-2E9C-101B-9397-08002B2CF9AE}" pid="5" name="ZOTERO_PREF_1">
    <vt:lpwstr>&lt;data data-version="3" zotero-version="6.0.36"&gt;&lt;session id="zaIfeDlH"/&gt;&lt;style id="http://www.zotero.org/styles/antimicrobial-resistance-and-infection-control" hasBibliography="1" bibliographyStyleHasBeenSet="1"/&gt;&lt;prefs&gt;&lt;pref name="fieldType" value="Field"</vt:lpwstr>
  </property>
  <property fmtid="{D5CDD505-2E9C-101B-9397-08002B2CF9AE}" pid="6" name="ZOTERO_PREF_2">
    <vt:lpwstr>/&gt;&lt;/prefs&gt;&lt;/data&gt;</vt:lpwstr>
  </property>
</Properties>
</file>