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F6E11" w14:textId="77777777" w:rsidR="00FC226A" w:rsidRDefault="00FC226A" w:rsidP="00FC22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3FE">
        <w:rPr>
          <w:rFonts w:ascii="Times New Roman" w:hAnsi="Times New Roman" w:cs="Times New Roman"/>
          <w:b/>
          <w:sz w:val="28"/>
          <w:szCs w:val="28"/>
        </w:rPr>
        <w:t>Supporting information</w:t>
      </w:r>
    </w:p>
    <w:p w14:paraId="438D5381" w14:textId="7E40A288" w:rsidR="00FC226A" w:rsidRPr="00BB7890" w:rsidRDefault="00FC226A" w:rsidP="00BB7890">
      <w:pPr>
        <w:jc w:val="center"/>
        <w:rPr>
          <w:rFonts w:ascii="Times New Roman" w:hAnsi="Times New Roman" w:cs="Times New Roman" w:hint="eastAsia"/>
          <w:b/>
          <w:sz w:val="28"/>
          <w:szCs w:val="28"/>
        </w:rPr>
      </w:pPr>
      <w:r w:rsidRPr="00FC226A">
        <w:rPr>
          <w:rFonts w:ascii="Times New Roman" w:hAnsi="Times New Roman" w:cs="Times New Roman"/>
          <w:b/>
          <w:sz w:val="28"/>
          <w:szCs w:val="28"/>
        </w:rPr>
        <w:t>High-throughput sequencing to analyze changes in the human scalp microbiome during the use of a shampoo</w:t>
      </w:r>
    </w:p>
    <w:p w14:paraId="216AD695" w14:textId="77777777" w:rsidR="00BB7890" w:rsidRDefault="00BB7890" w:rsidP="00BB7890">
      <w:pPr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Chong Xu</w:t>
      </w:r>
      <w:r>
        <w:rPr>
          <w:rFonts w:ascii="Times New Roman" w:eastAsia="宋体" w:hAnsi="Times New Roman" w:cs="Times New Roman"/>
          <w:vertAlign w:val="superscript"/>
        </w:rPr>
        <w:t>1</w:t>
      </w:r>
      <w:r>
        <w:rPr>
          <w:rFonts w:ascii="Times New Roman" w:eastAsia="宋体" w:hAnsi="Times New Roman" w:cs="Times New Roman"/>
        </w:rPr>
        <w:t>,</w:t>
      </w:r>
      <w:r>
        <w:rPr>
          <w:rFonts w:ascii="Times New Roman" w:eastAsia="宋体" w:hAnsi="Times New Roman" w:cs="Times New Roman" w:hint="eastAsia"/>
        </w:rPr>
        <w:t xml:space="preserve"> Wenxi Li</w:t>
      </w:r>
      <w:r w:rsidRPr="002A72BE">
        <w:rPr>
          <w:rFonts w:ascii="Times New Roman" w:eastAsia="宋体" w:hAnsi="Times New Roman" w:cs="Times New Roman" w:hint="eastAsia"/>
          <w:vertAlign w:val="superscript"/>
        </w:rPr>
        <w:t>1</w:t>
      </w:r>
      <w:r>
        <w:rPr>
          <w:rFonts w:ascii="Times New Roman" w:eastAsia="宋体" w:hAnsi="Times New Roman" w:cs="Times New Roman" w:hint="eastAsia"/>
        </w:rPr>
        <w:t>, Lin Lin</w:t>
      </w:r>
      <w:r w:rsidRPr="002A72BE">
        <w:rPr>
          <w:rFonts w:ascii="Times New Roman" w:eastAsia="宋体" w:hAnsi="Times New Roman" w:cs="Times New Roman" w:hint="eastAsia"/>
          <w:vertAlign w:val="superscript"/>
        </w:rPr>
        <w:t>1</w:t>
      </w:r>
      <w:r>
        <w:rPr>
          <w:rFonts w:ascii="Times New Roman" w:eastAsia="宋体" w:hAnsi="Times New Roman" w:cs="Times New Roman" w:hint="eastAsia"/>
        </w:rPr>
        <w:t>, Dexiang Zhang</w:t>
      </w:r>
      <w:r w:rsidRPr="002A72BE">
        <w:rPr>
          <w:rFonts w:ascii="Times New Roman" w:eastAsia="宋体" w:hAnsi="Times New Roman" w:cs="Times New Roman" w:hint="eastAsia"/>
          <w:vertAlign w:val="superscript"/>
        </w:rPr>
        <w:t>1</w:t>
      </w:r>
      <w:r>
        <w:rPr>
          <w:rFonts w:ascii="Times New Roman" w:eastAsia="宋体" w:hAnsi="Times New Roman" w:cs="Times New Roman" w:hint="eastAsia"/>
        </w:rPr>
        <w:t>, Jinyu Lei</w:t>
      </w:r>
      <w:r w:rsidRPr="002A72BE">
        <w:rPr>
          <w:rFonts w:ascii="Times New Roman" w:eastAsia="宋体" w:hAnsi="Times New Roman" w:cs="Times New Roman" w:hint="eastAsia"/>
          <w:vertAlign w:val="superscript"/>
        </w:rPr>
        <w:t>1</w:t>
      </w:r>
      <w:r>
        <w:rPr>
          <w:rFonts w:ascii="Times New Roman" w:eastAsia="宋体" w:hAnsi="Times New Roman" w:cs="Times New Roman" w:hint="eastAsia"/>
        </w:rPr>
        <w:t>, Danyang Pan</w:t>
      </w:r>
      <w:r w:rsidRPr="002A72BE">
        <w:rPr>
          <w:rFonts w:ascii="Times New Roman" w:eastAsia="宋体" w:hAnsi="Times New Roman" w:cs="Times New Roman" w:hint="eastAsia"/>
          <w:vertAlign w:val="superscript"/>
        </w:rPr>
        <w:t>1</w:t>
      </w:r>
      <w:r>
        <w:rPr>
          <w:rFonts w:ascii="Times New Roman" w:eastAsia="宋体" w:hAnsi="Times New Roman" w:cs="Times New Roman" w:hint="eastAsia"/>
        </w:rPr>
        <w:t xml:space="preserve">, </w:t>
      </w:r>
      <w:r>
        <w:rPr>
          <w:rFonts w:ascii="Times New Roman" w:eastAsia="宋体" w:hAnsi="Times New Roman" w:cs="Times New Roman"/>
        </w:rPr>
        <w:t>Shuangcheng Liang</w:t>
      </w:r>
      <w:r>
        <w:rPr>
          <w:rFonts w:ascii="Times New Roman" w:eastAsia="宋体" w:hAnsi="Times New Roman" w:cs="Times New Roman"/>
          <w:vertAlign w:val="superscript"/>
        </w:rPr>
        <w:t>2</w:t>
      </w:r>
      <w:r>
        <w:rPr>
          <w:rFonts w:ascii="Times New Roman" w:eastAsia="宋体" w:hAnsi="Times New Roman" w:cs="Times New Roman"/>
        </w:rPr>
        <w:t>, Yiti Chen</w:t>
      </w:r>
      <w:r w:rsidRPr="00231906">
        <w:rPr>
          <w:rFonts w:ascii="Times New Roman" w:eastAsia="宋体" w:hAnsi="Times New Roman" w:cs="Times New Roman"/>
          <w:vertAlign w:val="superscript"/>
        </w:rPr>
        <w:t>1</w:t>
      </w:r>
      <w:r>
        <w:rPr>
          <w:rFonts w:ascii="Times New Roman" w:eastAsia="宋体" w:hAnsi="Times New Roman" w:cs="Times New Roman"/>
        </w:rPr>
        <w:t>, Yuepeng Wan</w:t>
      </w:r>
      <w:r w:rsidRPr="00231906">
        <w:rPr>
          <w:rFonts w:ascii="Times New Roman" w:eastAsia="宋体" w:hAnsi="Times New Roman" w:cs="Times New Roman"/>
          <w:vertAlign w:val="superscript"/>
        </w:rPr>
        <w:t>1</w:t>
      </w:r>
      <w:r>
        <w:rPr>
          <w:rFonts w:ascii="Times New Roman" w:eastAsia="宋体" w:hAnsi="Times New Roman" w:cs="Times New Roman"/>
        </w:rPr>
        <w:t>, Jingyu He</w:t>
      </w:r>
      <w:r>
        <w:rPr>
          <w:rFonts w:ascii="Times New Roman" w:eastAsia="宋体" w:hAnsi="Times New Roman" w:cs="Times New Roman"/>
          <w:vertAlign w:val="superscript"/>
        </w:rPr>
        <w:t>1,3</w:t>
      </w:r>
      <w:r>
        <w:rPr>
          <w:rFonts w:ascii="Times New Roman" w:eastAsia="宋体" w:hAnsi="Times New Roman" w:cs="Times New Roman"/>
        </w:rPr>
        <w:t>*</w:t>
      </w:r>
    </w:p>
    <w:p w14:paraId="1FC954F5" w14:textId="77777777" w:rsidR="00453F24" w:rsidRPr="00BB7890" w:rsidRDefault="00453F24" w:rsidP="00453F24"/>
    <w:p w14:paraId="09CCED5C" w14:textId="77777777" w:rsidR="00453F24" w:rsidRDefault="00453F24" w:rsidP="00453F24"/>
    <w:p w14:paraId="15BA984C" w14:textId="77777777" w:rsidR="00AB6CFE" w:rsidRDefault="00AB6CFE" w:rsidP="00AB6CFE">
      <w:pPr>
        <w:pStyle w:val="a3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S1</w:t>
      </w:r>
      <w:r>
        <w:rPr>
          <w:rFonts w:ascii="Times New Roman" w:hAnsi="Times New Roman" w:cs="Times New Roman"/>
        </w:rPr>
        <w:t xml:space="preserve"> Adonis test based on bray-curtis distances. </w:t>
      </w:r>
    </w:p>
    <w:tbl>
      <w:tblPr>
        <w:tblStyle w:val="a5"/>
        <w:tblW w:w="3200" w:type="pct"/>
        <w:tblLook w:val="04A0" w:firstRow="1" w:lastRow="0" w:firstColumn="1" w:lastColumn="0" w:noHBand="0" w:noVBand="1"/>
      </w:tblPr>
      <w:tblGrid>
        <w:gridCol w:w="1100"/>
        <w:gridCol w:w="1053"/>
        <w:gridCol w:w="1053"/>
        <w:gridCol w:w="1053"/>
        <w:gridCol w:w="1050"/>
      </w:tblGrid>
      <w:tr w:rsidR="00AB6CFE" w14:paraId="03D32548" w14:textId="77777777" w:rsidTr="007F42D2">
        <w:trPr>
          <w:trHeight w:val="20"/>
        </w:trPr>
        <w:tc>
          <w:tcPr>
            <w:tcW w:w="1035" w:type="pct"/>
            <w:vMerge w:val="restart"/>
            <w:vAlign w:val="center"/>
          </w:tcPr>
          <w:p w14:paraId="32716617" w14:textId="77777777" w:rsidR="00AB6CFE" w:rsidRDefault="00AB6CFE" w:rsidP="007614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roup</w:t>
            </w:r>
          </w:p>
        </w:tc>
        <w:tc>
          <w:tcPr>
            <w:tcW w:w="1983" w:type="pct"/>
            <w:gridSpan w:val="2"/>
            <w:vAlign w:val="center"/>
          </w:tcPr>
          <w:p w14:paraId="436648F6" w14:textId="77777777" w:rsidR="00AB6CFE" w:rsidRDefault="00AB6CFE" w:rsidP="007614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Bacterial</w:t>
            </w:r>
          </w:p>
        </w:tc>
        <w:tc>
          <w:tcPr>
            <w:tcW w:w="1982" w:type="pct"/>
            <w:gridSpan w:val="2"/>
            <w:vAlign w:val="center"/>
          </w:tcPr>
          <w:p w14:paraId="4609DF95" w14:textId="77777777" w:rsidR="00AB6CFE" w:rsidRDefault="00AB6CFE" w:rsidP="007614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Fungal</w:t>
            </w:r>
          </w:p>
        </w:tc>
      </w:tr>
      <w:tr w:rsidR="00AB6CFE" w14:paraId="336F385F" w14:textId="77777777" w:rsidTr="007F42D2">
        <w:trPr>
          <w:trHeight w:val="20"/>
        </w:trPr>
        <w:tc>
          <w:tcPr>
            <w:tcW w:w="1035" w:type="pct"/>
            <w:vMerge/>
            <w:vAlign w:val="center"/>
          </w:tcPr>
          <w:p w14:paraId="5649FFF0" w14:textId="77777777" w:rsidR="00AB6CFE" w:rsidRDefault="00AB6CFE" w:rsidP="007614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pct"/>
            <w:vAlign w:val="center"/>
          </w:tcPr>
          <w:p w14:paraId="6FEC90A6" w14:textId="77777777" w:rsidR="00AB6CFE" w:rsidRDefault="00AB6CFE" w:rsidP="007614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pct"/>
            <w:vAlign w:val="center"/>
          </w:tcPr>
          <w:p w14:paraId="617610D0" w14:textId="77777777" w:rsidR="00AB6CFE" w:rsidRDefault="00AB6CFE" w:rsidP="007614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92" w:type="pct"/>
            <w:vAlign w:val="center"/>
          </w:tcPr>
          <w:p w14:paraId="096FD39B" w14:textId="77777777" w:rsidR="00AB6CFE" w:rsidRDefault="00AB6CFE" w:rsidP="007614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pct"/>
            <w:vAlign w:val="center"/>
          </w:tcPr>
          <w:p w14:paraId="2215A532" w14:textId="77777777" w:rsidR="00AB6CFE" w:rsidRDefault="00AB6CFE" w:rsidP="007614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AB6CFE" w14:paraId="1A88570E" w14:textId="77777777" w:rsidTr="007F42D2">
        <w:trPr>
          <w:trHeight w:val="20"/>
        </w:trPr>
        <w:tc>
          <w:tcPr>
            <w:tcW w:w="1035" w:type="pct"/>
            <w:vAlign w:val="center"/>
          </w:tcPr>
          <w:p w14:paraId="4CD259BF" w14:textId="77777777" w:rsidR="00AB6CFE" w:rsidRDefault="00AB6CFE" w:rsidP="007614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vs Day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pct"/>
            <w:vAlign w:val="center"/>
          </w:tcPr>
          <w:p w14:paraId="3CC9C7EF" w14:textId="77777777" w:rsidR="00AB6CFE" w:rsidRDefault="007F42D2" w:rsidP="007614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2D2">
              <w:rPr>
                <w:rFonts w:ascii="Times New Roman" w:hAnsi="Times New Roman" w:cs="Times New Roman"/>
                <w:sz w:val="20"/>
                <w:szCs w:val="20"/>
              </w:rPr>
              <w:t> 0.06896</w:t>
            </w:r>
          </w:p>
        </w:tc>
        <w:tc>
          <w:tcPr>
            <w:tcW w:w="992" w:type="pct"/>
            <w:vAlign w:val="center"/>
          </w:tcPr>
          <w:p w14:paraId="2407E39C" w14:textId="77777777" w:rsidR="00AB6CFE" w:rsidRDefault="007F42D2" w:rsidP="007614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0.015</w:t>
            </w:r>
          </w:p>
        </w:tc>
        <w:tc>
          <w:tcPr>
            <w:tcW w:w="992" w:type="pct"/>
            <w:vAlign w:val="center"/>
          </w:tcPr>
          <w:p w14:paraId="5DB38B98" w14:textId="77777777" w:rsidR="00AB6CFE" w:rsidRDefault="00AB6CFE" w:rsidP="007F4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="007F42D2">
              <w:rPr>
                <w:rFonts w:ascii="Times New Roman" w:hAnsi="Times New Roman" w:cs="Times New Roman"/>
                <w:sz w:val="20"/>
                <w:szCs w:val="20"/>
              </w:rPr>
              <w:t>764</w:t>
            </w:r>
          </w:p>
        </w:tc>
        <w:tc>
          <w:tcPr>
            <w:tcW w:w="990" w:type="pct"/>
            <w:vAlign w:val="center"/>
          </w:tcPr>
          <w:p w14:paraId="4BFF41B3" w14:textId="77777777" w:rsidR="00AB6CFE" w:rsidRDefault="00AB6CFE" w:rsidP="007614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F42D2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</w:tbl>
    <w:p w14:paraId="7B80848E" w14:textId="77777777" w:rsidR="00AB6CFE" w:rsidRPr="007B015A" w:rsidRDefault="007F42D2" w:rsidP="00AB6CFE">
      <w:pPr>
        <w:rPr>
          <w:rFonts w:ascii="Times New Roman" w:hAnsi="Times New Roman" w:cs="Times New Roman"/>
        </w:rPr>
      </w:pPr>
      <w:r w:rsidRPr="007B015A">
        <w:rPr>
          <w:rFonts w:ascii="Times New Roman" w:hAnsi="Times New Roman" w:cs="Times New Roman"/>
        </w:rPr>
        <w:t>Bold values indicate statistically significant results, P &lt; 0.05.</w:t>
      </w:r>
    </w:p>
    <w:p w14:paraId="0C6A3EF0" w14:textId="77777777" w:rsidR="00AB6CFE" w:rsidRPr="00AB6CFE" w:rsidRDefault="00AB6CFE" w:rsidP="00AB6CFE"/>
    <w:p w14:paraId="62FD40B2" w14:textId="77777777" w:rsidR="00AB6CFE" w:rsidRPr="00AB6CFE" w:rsidRDefault="00453F24" w:rsidP="00AB6CFE">
      <w:pPr>
        <w:pStyle w:val="a3"/>
        <w:keepNext/>
        <w:rPr>
          <w:rFonts w:ascii="Times New Roman" w:hAnsi="Times New Roman" w:cs="Times New Roman"/>
        </w:rPr>
      </w:pPr>
      <w:r w:rsidRPr="00453F24">
        <w:rPr>
          <w:rFonts w:ascii="Times New Roman" w:hAnsi="Times New Roman" w:cs="Times New Roman"/>
          <w:b/>
        </w:rPr>
        <w:t>Table S</w:t>
      </w:r>
      <w:r w:rsidR="00FF5FD9">
        <w:rPr>
          <w:rFonts w:ascii="Times New Roman" w:hAnsi="Times New Roman" w:cs="Times New Roman"/>
          <w:b/>
        </w:rPr>
        <w:t>2</w:t>
      </w:r>
      <w:r w:rsidRPr="00453F24">
        <w:rPr>
          <w:rFonts w:ascii="Times New Roman" w:hAnsi="Times New Roman" w:cs="Times New Roman"/>
        </w:rPr>
        <w:t xml:space="preserve"> Relative abundance of top 10 dominant bacterial genus in different group</w:t>
      </w:r>
    </w:p>
    <w:tbl>
      <w:tblPr>
        <w:tblW w:w="9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1"/>
        <w:gridCol w:w="1010"/>
        <w:gridCol w:w="993"/>
        <w:gridCol w:w="855"/>
        <w:gridCol w:w="846"/>
        <w:gridCol w:w="708"/>
        <w:gridCol w:w="1276"/>
        <w:gridCol w:w="593"/>
        <w:gridCol w:w="1108"/>
        <w:gridCol w:w="872"/>
        <w:gridCol w:w="829"/>
      </w:tblGrid>
      <w:tr w:rsidR="00AB6CFE" w:rsidRPr="006B4480" w14:paraId="026C5312" w14:textId="77777777" w:rsidTr="008623FB">
        <w:trPr>
          <w:trHeight w:val="270"/>
        </w:trPr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7DFC1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53F24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Taxonomy</w:t>
            </w:r>
          </w:p>
        </w:tc>
        <w:tc>
          <w:tcPr>
            <w:tcW w:w="10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FC8F4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Staphylococcus</w:t>
            </w:r>
          </w:p>
        </w:tc>
        <w:tc>
          <w:tcPr>
            <w:tcW w:w="9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D0A4F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Cutibacterium</w:t>
            </w:r>
          </w:p>
        </w:tc>
        <w:tc>
          <w:tcPr>
            <w:tcW w:w="8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17874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Pseudomonas</w:t>
            </w:r>
          </w:p>
        </w:tc>
        <w:tc>
          <w:tcPr>
            <w:tcW w:w="8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6C85E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Lawsonella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189E7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Ralstonia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42EE5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Pseudoalteromonas</w:t>
            </w:r>
          </w:p>
        </w:tc>
        <w:tc>
          <w:tcPr>
            <w:tcW w:w="5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7E813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Vibrio</w:t>
            </w:r>
          </w:p>
        </w:tc>
        <w:tc>
          <w:tcPr>
            <w:tcW w:w="11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EF56C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Corynebacterium</w:t>
            </w:r>
          </w:p>
        </w:tc>
        <w:tc>
          <w:tcPr>
            <w:tcW w:w="8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A05E0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Streptococcus</w:t>
            </w:r>
          </w:p>
        </w:tc>
        <w:tc>
          <w:tcPr>
            <w:tcW w:w="8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053D0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unidentified_Chloroplast</w:t>
            </w:r>
          </w:p>
        </w:tc>
      </w:tr>
      <w:tr w:rsidR="00AB6CFE" w:rsidRPr="006B4480" w14:paraId="4AD7CFBE" w14:textId="77777777" w:rsidTr="008623FB">
        <w:trPr>
          <w:trHeight w:val="270"/>
        </w:trPr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B7A70" w14:textId="77777777" w:rsidR="00AB6CFE" w:rsidRPr="006B4480" w:rsidRDefault="007979E7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D</w:t>
            </w:r>
            <w:r w:rsidR="00AB6CFE"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ay0</w:t>
            </w:r>
          </w:p>
        </w:tc>
        <w:tc>
          <w:tcPr>
            <w:tcW w:w="10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4C434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16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.55%</w:t>
            </w:r>
          </w:p>
        </w:tc>
        <w:tc>
          <w:tcPr>
            <w:tcW w:w="9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7BB22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11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.58%</w:t>
            </w:r>
          </w:p>
        </w:tc>
        <w:tc>
          <w:tcPr>
            <w:tcW w:w="8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2E2B0" w14:textId="77777777" w:rsidR="00AB6CFE" w:rsidRPr="006B4480" w:rsidRDefault="00AB6CFE" w:rsidP="007979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6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.20%</w:t>
            </w:r>
          </w:p>
        </w:tc>
        <w:tc>
          <w:tcPr>
            <w:tcW w:w="8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F7AE4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10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.08%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A4788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5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.56%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709EB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10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.57%</w:t>
            </w:r>
          </w:p>
        </w:tc>
        <w:tc>
          <w:tcPr>
            <w:tcW w:w="5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44A39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9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.47%</w:t>
            </w:r>
          </w:p>
        </w:tc>
        <w:tc>
          <w:tcPr>
            <w:tcW w:w="11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03BFC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1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.38%</w:t>
            </w:r>
          </w:p>
        </w:tc>
        <w:tc>
          <w:tcPr>
            <w:tcW w:w="8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9ECC5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3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.56%</w:t>
            </w:r>
          </w:p>
        </w:tc>
        <w:tc>
          <w:tcPr>
            <w:tcW w:w="8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CFA36" w14:textId="77777777" w:rsidR="00AB6CFE" w:rsidRPr="006B4480" w:rsidRDefault="00AB6CFE" w:rsidP="00AB6C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1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.87%</w:t>
            </w:r>
          </w:p>
        </w:tc>
      </w:tr>
      <w:tr w:rsidR="00AB6CFE" w:rsidRPr="006B4480" w14:paraId="09C65067" w14:textId="77777777" w:rsidTr="008623FB">
        <w:trPr>
          <w:trHeight w:val="270"/>
        </w:trPr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99C0A" w14:textId="77777777" w:rsidR="00AB6CFE" w:rsidRPr="006B4480" w:rsidRDefault="007979E7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D</w:t>
            </w:r>
            <w:r w:rsidR="00AB6CFE"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ay28</w:t>
            </w:r>
          </w:p>
        </w:tc>
        <w:tc>
          <w:tcPr>
            <w:tcW w:w="10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41AAE" w14:textId="77777777" w:rsidR="00AB6CFE" w:rsidRPr="006B4480" w:rsidRDefault="00AB6CFE" w:rsidP="007979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18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</w:t>
            </w: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3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7%</w:t>
            </w:r>
          </w:p>
        </w:tc>
        <w:tc>
          <w:tcPr>
            <w:tcW w:w="9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04007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28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</w:t>
            </w: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662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%</w:t>
            </w:r>
          </w:p>
        </w:tc>
        <w:tc>
          <w:tcPr>
            <w:tcW w:w="8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53CEF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0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.40%</w:t>
            </w:r>
          </w:p>
        </w:tc>
        <w:tc>
          <w:tcPr>
            <w:tcW w:w="8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F8859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9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.52%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E8AFC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1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.78%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6B86C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8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.23%</w:t>
            </w:r>
          </w:p>
        </w:tc>
        <w:tc>
          <w:tcPr>
            <w:tcW w:w="5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DB6AB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9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.70%</w:t>
            </w:r>
          </w:p>
        </w:tc>
        <w:tc>
          <w:tcPr>
            <w:tcW w:w="11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570C5" w14:textId="77777777" w:rsidR="00AB6CFE" w:rsidRPr="006B4480" w:rsidRDefault="00AB6CFE" w:rsidP="007979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1</w:t>
            </w:r>
            <w:r w:rsidR="007979E7">
              <w:rPr>
                <w:rFonts w:ascii="Times New Roman" w:eastAsia="微软雅黑" w:hAnsi="Times New Roman" w:cs="Times New Roman" w:hint="eastAsia"/>
                <w:color w:val="000000" w:themeColor="dark1"/>
                <w:kern w:val="24"/>
                <w:sz w:val="15"/>
                <w:szCs w:val="15"/>
              </w:rPr>
              <w:t>.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35%</w:t>
            </w:r>
          </w:p>
        </w:tc>
        <w:tc>
          <w:tcPr>
            <w:tcW w:w="8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42DAD" w14:textId="77777777" w:rsidR="00AB6CFE" w:rsidRPr="006B4480" w:rsidRDefault="00AB6CFE" w:rsidP="00AB6C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3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.06%</w:t>
            </w:r>
          </w:p>
        </w:tc>
        <w:tc>
          <w:tcPr>
            <w:tcW w:w="8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934AB" w14:textId="77777777" w:rsidR="00AB6CFE" w:rsidRPr="006B4480" w:rsidRDefault="00AB6CFE" w:rsidP="00AB6C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B4480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1</w:t>
            </w:r>
            <w:r w:rsidR="007979E7">
              <w:rPr>
                <w:rFonts w:ascii="Times New Roman" w:eastAsia="微软雅黑" w:hAnsi="Times New Roman" w:cs="Times New Roman"/>
                <w:color w:val="000000" w:themeColor="dark1"/>
                <w:kern w:val="24"/>
                <w:sz w:val="15"/>
                <w:szCs w:val="15"/>
              </w:rPr>
              <w:t>.20%</w:t>
            </w:r>
          </w:p>
        </w:tc>
      </w:tr>
    </w:tbl>
    <w:p w14:paraId="18072F73" w14:textId="77777777" w:rsidR="00AB6CFE" w:rsidRPr="00453F24" w:rsidRDefault="00AB6CFE" w:rsidP="00453F24"/>
    <w:p w14:paraId="66B412CF" w14:textId="13E145F0" w:rsidR="00AB6CFE" w:rsidRPr="00AB6CFE" w:rsidRDefault="00453F24" w:rsidP="00AB6CFE">
      <w:pPr>
        <w:pStyle w:val="a3"/>
        <w:keepNext/>
        <w:rPr>
          <w:rFonts w:ascii="Times New Roman" w:hAnsi="Times New Roman" w:cs="Times New Roman"/>
        </w:rPr>
      </w:pPr>
      <w:r w:rsidRPr="00453F24">
        <w:rPr>
          <w:rFonts w:ascii="Times New Roman" w:hAnsi="Times New Roman" w:cs="Times New Roman"/>
          <w:b/>
        </w:rPr>
        <w:t>Table S</w:t>
      </w:r>
      <w:r w:rsidR="00CC5EF7">
        <w:rPr>
          <w:rFonts w:ascii="Times New Roman" w:hAnsi="Times New Roman" w:cs="Times New Roman" w:hint="eastAsia"/>
          <w:b/>
        </w:rPr>
        <w:t>3</w:t>
      </w:r>
      <w:r w:rsidRPr="00453F24">
        <w:rPr>
          <w:rFonts w:ascii="Times New Roman" w:hAnsi="Times New Roman" w:cs="Times New Roman"/>
        </w:rPr>
        <w:t xml:space="preserve"> Relative abundance of top 10 dominant fungal genus in different group</w:t>
      </w:r>
    </w:p>
    <w:tbl>
      <w:tblPr>
        <w:tblW w:w="92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9"/>
        <w:gridCol w:w="729"/>
        <w:gridCol w:w="709"/>
        <w:gridCol w:w="992"/>
        <w:gridCol w:w="1134"/>
        <w:gridCol w:w="850"/>
        <w:gridCol w:w="709"/>
        <w:gridCol w:w="709"/>
        <w:gridCol w:w="1276"/>
        <w:gridCol w:w="708"/>
        <w:gridCol w:w="709"/>
      </w:tblGrid>
      <w:tr w:rsidR="006B4480" w:rsidRPr="006B4480" w14:paraId="5A4312A1" w14:textId="77777777" w:rsidTr="008623FB">
        <w:trPr>
          <w:trHeight w:val="227"/>
        </w:trPr>
        <w:tc>
          <w:tcPr>
            <w:tcW w:w="6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28CB5" w14:textId="77777777" w:rsidR="006B4480" w:rsidRPr="00035D2F" w:rsidRDefault="00453F24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53F24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Taxonomy</w:t>
            </w:r>
          </w:p>
        </w:tc>
        <w:tc>
          <w:tcPr>
            <w:tcW w:w="7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CB8C0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Malassezia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84BAF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Nigrospora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C3951" w14:textId="77777777" w:rsidR="006B4480" w:rsidRPr="00035D2F" w:rsidRDefault="006B4480" w:rsidP="006B44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Aureobasidium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F8981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Pseudorhypophila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AF2BB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Aspergillus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EB3BF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Alternaria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268A0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Candida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48B7A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Archaeorhizomyces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7C0DA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Fusarium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E5D04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Wallemia</w:t>
            </w:r>
          </w:p>
        </w:tc>
      </w:tr>
      <w:tr w:rsidR="006B4480" w:rsidRPr="006B4480" w14:paraId="326AF79F" w14:textId="77777777" w:rsidTr="008623FB">
        <w:trPr>
          <w:trHeight w:val="227"/>
        </w:trPr>
        <w:tc>
          <w:tcPr>
            <w:tcW w:w="6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EA2D2" w14:textId="77777777" w:rsidR="006B4480" w:rsidRPr="00035D2F" w:rsidRDefault="007979E7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D</w:t>
            </w:r>
            <w:r w:rsidR="006B4480"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ay0</w:t>
            </w:r>
          </w:p>
        </w:tc>
        <w:tc>
          <w:tcPr>
            <w:tcW w:w="7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9478D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81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.34%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AD054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1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.80%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6F3C5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0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.01%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28A76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2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.28%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685B1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0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.69%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3B351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0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.49%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2E001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0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.08%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834F8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1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.19%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4E72E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1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.01%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5CEC9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0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.15%</w:t>
            </w:r>
          </w:p>
        </w:tc>
      </w:tr>
      <w:tr w:rsidR="006B4480" w:rsidRPr="006B4480" w14:paraId="307ACA42" w14:textId="77777777" w:rsidTr="008623FB">
        <w:trPr>
          <w:trHeight w:val="227"/>
        </w:trPr>
        <w:tc>
          <w:tcPr>
            <w:tcW w:w="6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A5951" w14:textId="77777777" w:rsidR="006B4480" w:rsidRPr="00035D2F" w:rsidRDefault="007979E7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D</w:t>
            </w:r>
            <w:r w:rsidR="006B4480"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ay28</w:t>
            </w:r>
          </w:p>
        </w:tc>
        <w:tc>
          <w:tcPr>
            <w:tcW w:w="7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14800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64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.31%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3FE19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0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.01%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7AD3E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1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.80%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E0B26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0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.00%</w:t>
            </w:r>
          </w:p>
        </w:tc>
        <w:tc>
          <w:tcPr>
            <w:tcW w:w="8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E92A8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2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.13%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D3FC7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2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.53%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47BCC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0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.59%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E3E65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0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.00%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C50C7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0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.67%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3C2F4" w14:textId="77777777" w:rsidR="006B4480" w:rsidRPr="00035D2F" w:rsidRDefault="006B4480" w:rsidP="00035D2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35D2F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0</w:t>
            </w:r>
            <w:r w:rsidR="007979E7">
              <w:rPr>
                <w:rFonts w:ascii="Times New Roman" w:eastAsia="微软雅黑" w:hAnsi="Times New Roman" w:cs="Times New Roman"/>
                <w:kern w:val="24"/>
                <w:sz w:val="15"/>
                <w:szCs w:val="15"/>
              </w:rPr>
              <w:t>.37%</w:t>
            </w:r>
          </w:p>
        </w:tc>
      </w:tr>
    </w:tbl>
    <w:p w14:paraId="71AE019E" w14:textId="77777777" w:rsidR="00AC2BAB" w:rsidRPr="00AC2BAB" w:rsidRDefault="00AC2BAB" w:rsidP="00FC226A">
      <w:pPr>
        <w:widowControl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3B80FAB7" w14:textId="77777777" w:rsidR="000964D8" w:rsidRPr="000964D8" w:rsidRDefault="006B4480" w:rsidP="000964D8">
      <w:pPr>
        <w:widowControl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E1F231C" w14:textId="379362B9" w:rsidR="000964D8" w:rsidRPr="000964D8" w:rsidRDefault="000964D8" w:rsidP="000964D8">
      <w:pPr>
        <w:pStyle w:val="a3"/>
        <w:keepNext/>
        <w:rPr>
          <w:rFonts w:ascii="Times New Roman" w:hAnsi="Times New Roman" w:cs="Times New Roman"/>
        </w:rPr>
      </w:pPr>
      <w:r w:rsidRPr="000964D8">
        <w:rPr>
          <w:rFonts w:ascii="Times New Roman" w:hAnsi="Times New Roman" w:cs="Times New Roman"/>
          <w:b/>
        </w:rPr>
        <w:lastRenderedPageBreak/>
        <w:t>Table S</w:t>
      </w:r>
      <w:r w:rsidR="00CC5EF7">
        <w:rPr>
          <w:rFonts w:ascii="Times New Roman" w:hAnsi="Times New Roman" w:cs="Times New Roman" w:hint="eastAsia"/>
          <w:b/>
        </w:rPr>
        <w:t xml:space="preserve">4 </w:t>
      </w:r>
      <w:r>
        <w:rPr>
          <w:rFonts w:ascii="Times New Roman" w:hAnsi="Times New Roman" w:cs="Times New Roman"/>
        </w:rPr>
        <w:t xml:space="preserve">The </w:t>
      </w:r>
      <w:r w:rsidRPr="000964D8">
        <w:rPr>
          <w:rFonts w:ascii="Times New Roman" w:hAnsi="Times New Roman" w:cs="Times New Roman"/>
        </w:rPr>
        <w:t>table displays the relative pathway of bacterial prediction by PICRUSt2</w:t>
      </w:r>
    </w:p>
    <w:tbl>
      <w:tblPr>
        <w:tblpPr w:leftFromText="180" w:rightFromText="180" w:vertAnchor="text" w:horzAnchor="page" w:tblpXSpec="center" w:tblpY="49"/>
        <w:tblW w:w="8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111"/>
        <w:gridCol w:w="2410"/>
      </w:tblGrid>
      <w:tr w:rsidR="00FC226A" w:rsidRPr="007475FB" w14:paraId="183C2CBA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B92C0D6" w14:textId="77777777" w:rsidR="00FC226A" w:rsidRPr="007475FB" w:rsidRDefault="00FC226A" w:rsidP="007614FA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Pathway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7FCBF82" w14:textId="77777777" w:rsidR="00FC226A" w:rsidRPr="007475FB" w:rsidRDefault="00FC226A" w:rsidP="007614FA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b/>
                <w:sz w:val="15"/>
                <w:szCs w:val="15"/>
              </w:rPr>
              <w:t>Description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64BE27A" w14:textId="77777777" w:rsidR="00FC226A" w:rsidRPr="007475FB" w:rsidRDefault="00FC226A" w:rsidP="007614FA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b/>
                <w:sz w:val="15"/>
                <w:szCs w:val="15"/>
              </w:rPr>
              <w:t>Associated biosynthesis pathways</w:t>
            </w:r>
          </w:p>
        </w:tc>
      </w:tr>
      <w:tr w:rsidR="00035D2F" w:rsidRPr="007475FB" w14:paraId="41E89D28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78C9D35" w14:textId="77777777" w:rsidR="00FC226A" w:rsidRPr="0028147E" w:rsidRDefault="00FC226A" w:rsidP="00FC226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147E">
              <w:rPr>
                <w:rFonts w:ascii="Times New Roman" w:hAnsi="Times New Roman" w:cs="Times New Roman"/>
                <w:sz w:val="15"/>
                <w:szCs w:val="15"/>
              </w:rPr>
              <w:t>PHOSLIPSYN-PWY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877D897" w14:textId="77777777" w:rsidR="00FC226A" w:rsidRPr="0028147E" w:rsidRDefault="00FC226A" w:rsidP="00FC226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147E">
              <w:rPr>
                <w:rFonts w:ascii="Times New Roman" w:hAnsi="Times New Roman" w:cs="Times New Roman"/>
                <w:sz w:val="15"/>
                <w:szCs w:val="15"/>
              </w:rPr>
              <w:t>superpathway of phospholipid biosynthesis I (bacteria)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8BCE6A2" w14:textId="77777777" w:rsidR="00FC226A" w:rsidRPr="0028147E" w:rsidRDefault="00D86D6D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147E">
              <w:rPr>
                <w:rFonts w:ascii="Times New Roman" w:hAnsi="Times New Roman" w:cs="Times New Roman"/>
                <w:sz w:val="15"/>
                <w:szCs w:val="15"/>
              </w:rPr>
              <w:t>Fatty acid and lipid biosynthesis</w:t>
            </w:r>
          </w:p>
        </w:tc>
      </w:tr>
      <w:tr w:rsidR="0089262B" w:rsidRPr="007475FB" w14:paraId="452F47DB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3E1EC3D" w14:textId="77777777" w:rsidR="00FC226A" w:rsidRPr="0028147E" w:rsidRDefault="00D86D6D" w:rsidP="00D86D6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147E">
              <w:rPr>
                <w:rFonts w:ascii="Times New Roman" w:hAnsi="Times New Roman" w:cs="Times New Roman"/>
                <w:sz w:val="15"/>
                <w:szCs w:val="15"/>
              </w:rPr>
              <w:t>GLYCOLYSIS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D30986E" w14:textId="77777777" w:rsidR="00FC226A" w:rsidRPr="0028147E" w:rsidRDefault="00D86D6D" w:rsidP="00D86D6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147E">
              <w:rPr>
                <w:rFonts w:ascii="Times New Roman" w:hAnsi="Times New Roman" w:cs="Times New Roman"/>
                <w:sz w:val="15"/>
                <w:szCs w:val="15"/>
              </w:rPr>
              <w:t>glycolysis I (from glucose 6-phosphate)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49D9D" w14:textId="77777777" w:rsidR="00FC226A" w:rsidRPr="0028147E" w:rsidRDefault="00D86D6D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147E">
              <w:rPr>
                <w:rFonts w:ascii="Times New Roman" w:hAnsi="Times New Roman" w:cs="Times New Roman"/>
                <w:sz w:val="15"/>
                <w:szCs w:val="15"/>
              </w:rPr>
              <w:t>Generation of precursor metabolites and energy</w:t>
            </w:r>
          </w:p>
        </w:tc>
      </w:tr>
      <w:tr w:rsidR="0089262B" w:rsidRPr="007475FB" w14:paraId="1A64ED34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1E482C3" w14:textId="77777777" w:rsidR="00FC226A" w:rsidRPr="007475FB" w:rsidRDefault="00D86D6D" w:rsidP="00D86D6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PWY-6125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6794362" w14:textId="77777777" w:rsidR="00FC226A" w:rsidRPr="007475FB" w:rsidRDefault="007475FB" w:rsidP="007475F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superpathway of guanosine nucleotides de novo biosynthesis II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B10EC" w14:textId="77777777" w:rsidR="00FC226A" w:rsidRPr="007475FB" w:rsidRDefault="007475F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Nucleoside and Nucleotide Biosynthesis</w:t>
            </w:r>
          </w:p>
        </w:tc>
      </w:tr>
      <w:tr w:rsidR="00FC226A" w:rsidRPr="007475FB" w14:paraId="399380D3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CEC9199" w14:textId="77777777" w:rsidR="00FC226A" w:rsidRPr="007475FB" w:rsidRDefault="007475FB" w:rsidP="007475F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PWY-2942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A9A6CC8" w14:textId="77777777" w:rsidR="00FC226A" w:rsidRPr="007475FB" w:rsidRDefault="007475FB" w:rsidP="007475F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L-lysine biosynthesis III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14BF219" w14:textId="77777777" w:rsidR="00FC226A" w:rsidRPr="007475FB" w:rsidRDefault="007475F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Amino acid biosynthesis</w:t>
            </w:r>
          </w:p>
        </w:tc>
      </w:tr>
      <w:tr w:rsidR="007475FB" w:rsidRPr="007475FB" w14:paraId="3557970A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AC1ED06" w14:textId="77777777" w:rsidR="007475FB" w:rsidRPr="007475FB" w:rsidRDefault="007475F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PWY-7222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CAEFF3C" w14:textId="77777777" w:rsidR="007475FB" w:rsidRPr="007475FB" w:rsidRDefault="007475F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guanosine deoxyribonucleotides de novo biosynthesis II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0826488" w14:textId="77777777" w:rsidR="007475FB" w:rsidRPr="007475FB" w:rsidRDefault="007475F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Nucleoside and nucleotide biosynthesis</w:t>
            </w:r>
          </w:p>
        </w:tc>
      </w:tr>
      <w:tr w:rsidR="007475FB" w:rsidRPr="007475FB" w14:paraId="082CF862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C4A281B" w14:textId="77777777" w:rsidR="007475FB" w:rsidRPr="007475FB" w:rsidRDefault="007475FB" w:rsidP="007475F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PWY-7220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3F18CF8" w14:textId="77777777" w:rsidR="007475FB" w:rsidRPr="007475FB" w:rsidRDefault="007475FB" w:rsidP="007475F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  <w:lang w:val="pt-BR"/>
              </w:rPr>
              <w:t>adenosine deoxyribonucleotides de novo biosynthesis II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B9D4FF" w14:textId="77777777" w:rsidR="007475FB" w:rsidRPr="007475FB" w:rsidRDefault="007475F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475FB" w:rsidRPr="007475FB" w14:paraId="7703A0EC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0416E7D" w14:textId="77777777" w:rsidR="007475FB" w:rsidRPr="007475FB" w:rsidRDefault="007475F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PWY-7229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93895AA" w14:textId="77777777" w:rsidR="007475FB" w:rsidRPr="007475FB" w:rsidRDefault="007475F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superpathway of adenosine nucleotides de novo biosynthesis I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AD275F1" w14:textId="77777777" w:rsidR="007475FB" w:rsidRPr="007475FB" w:rsidRDefault="007475FB" w:rsidP="00D86D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9262B" w:rsidRPr="007475FB" w14:paraId="3E4760DB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1418008" w14:textId="77777777" w:rsidR="00FC226A" w:rsidRPr="007475FB" w:rsidRDefault="007475FB" w:rsidP="007475F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TCA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8D9AE51" w14:textId="77777777" w:rsidR="00FC226A" w:rsidRPr="007475FB" w:rsidRDefault="007475FB" w:rsidP="007475F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TCA cycle I (prokaryotic)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1131F" w14:textId="77777777" w:rsidR="00FC226A" w:rsidRPr="007475FB" w:rsidRDefault="007475F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Generation of precursor metabolites and energy</w:t>
            </w:r>
          </w:p>
        </w:tc>
      </w:tr>
      <w:tr w:rsidR="00FC226A" w:rsidRPr="007475FB" w14:paraId="22F83C3F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35B8E2B" w14:textId="77777777" w:rsidR="00FC226A" w:rsidRPr="007475FB" w:rsidRDefault="007475F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PWY-7219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A69F4F0" w14:textId="77777777" w:rsidR="00FC226A" w:rsidRPr="007475FB" w:rsidRDefault="007475F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adenosine ribonucleotides de novo biosynthesis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DE69BEA" w14:textId="77777777" w:rsidR="00FC226A" w:rsidRPr="007475FB" w:rsidRDefault="007475F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Nucleoside and nucleotide biosynthesis</w:t>
            </w:r>
          </w:p>
        </w:tc>
      </w:tr>
      <w:tr w:rsidR="00FD36E8" w:rsidRPr="007475FB" w14:paraId="5FFCC3AA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82C075E" w14:textId="77777777" w:rsidR="00FD36E8" w:rsidRPr="007475FB" w:rsidRDefault="00FD36E8" w:rsidP="007475F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NONOXIPENT-PWY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C2369C1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pentose phosphate pathway (non-oxidative branch)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59CEB54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Generation of precursor metabolites and energy</w:t>
            </w:r>
          </w:p>
        </w:tc>
      </w:tr>
      <w:tr w:rsidR="00FD36E8" w:rsidRPr="007475FB" w14:paraId="4C06D74C" w14:textId="77777777" w:rsidTr="0028147E">
        <w:trPr>
          <w:trHeight w:val="208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EEB3BE7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PWY-3781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1660362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aerobic respiration I (cytochrome c)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19C80D2" w14:textId="77777777" w:rsidR="00FD36E8" w:rsidRPr="007475FB" w:rsidRDefault="00FD36E8" w:rsidP="00FD36E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D36E8" w:rsidRPr="007475FB" w14:paraId="266B2F1A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D7E64BD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PWY-5484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4EB703E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glycolysis II (from fructose 6-phosphate)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73DBC3C" w14:textId="77777777" w:rsidR="00FD36E8" w:rsidRPr="007475FB" w:rsidRDefault="00FD36E8" w:rsidP="00FD36E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D36E8" w:rsidRPr="007475FB" w14:paraId="1D2972F9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8FAC219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PWY-841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6F52820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superpathway of purine nucleotides de novo biosynthesis I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61134F5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Nucleoside and Nucleotide Biosynthesis</w:t>
            </w:r>
          </w:p>
        </w:tc>
      </w:tr>
      <w:tr w:rsidR="00FD36E8" w:rsidRPr="007475FB" w14:paraId="3E7A92E4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A2C775F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PWY-7208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6EC6B33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75FB">
              <w:rPr>
                <w:rFonts w:ascii="Times New Roman" w:hAnsi="Times New Roman" w:cs="Times New Roman"/>
                <w:sz w:val="15"/>
                <w:szCs w:val="15"/>
              </w:rPr>
              <w:t>superpathway of pyrimidine nucleobases salvage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6D96EBF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D36E8" w:rsidRPr="007475FB" w14:paraId="2C5CC6A3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F62182E" w14:textId="77777777" w:rsidR="00FD36E8" w:rsidRPr="007475FB" w:rsidRDefault="00FD36E8" w:rsidP="00FD36E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PWY-7228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146975E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superpathway of guanosine nucleotides de novo biosynthesis I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C29D853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475FB" w:rsidRPr="007475FB" w14:paraId="53D2E9D0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E3D36EC" w14:textId="77777777" w:rsidR="007475FB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ANAGLYCOLYSIS-PWY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D710887" w14:textId="77777777" w:rsidR="007475FB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glycolysis III (from glucose)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460E235" w14:textId="77777777" w:rsidR="007475FB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Generation of precursor metabolites and energy</w:t>
            </w:r>
          </w:p>
        </w:tc>
      </w:tr>
      <w:tr w:rsidR="00FD36E8" w:rsidRPr="007475FB" w14:paraId="7A42FF89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D60B33E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PWY4FS-8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1C933D4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phosphatidylglycerol biosynthesis II (non-plastidic)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ED631D7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Fatty acid and lipid biosynthesis</w:t>
            </w:r>
          </w:p>
        </w:tc>
      </w:tr>
      <w:tr w:rsidR="00FD36E8" w:rsidRPr="007475FB" w14:paraId="180F8FF3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752237A" w14:textId="77777777" w:rsidR="00FD36E8" w:rsidRPr="00FD36E8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PWY4FS-7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527F123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phosphatidylglycerol biosynthesis I (plastidic)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85AA243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D36E8" w:rsidRPr="007475FB" w14:paraId="4DCC0195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8122C2E" w14:textId="77777777" w:rsidR="00FD36E8" w:rsidRPr="00FD36E8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PWY-6121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C359E73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5-aminoimidazole ribonucleotide biosynthesis I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00C9565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Nucleoside and nucleotide biosynthesis</w:t>
            </w:r>
          </w:p>
        </w:tc>
      </w:tr>
      <w:tr w:rsidR="00FD36E8" w:rsidRPr="007475FB" w14:paraId="50805618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6658C52" w14:textId="77777777" w:rsidR="00FD36E8" w:rsidRPr="00FD36E8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PWY-6126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0C4DB71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superpathway of adenosine nucleotides de novo biosynthesis II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B2333A0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D36E8" w:rsidRPr="007475FB" w14:paraId="51414471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673AFCE" w14:textId="77777777" w:rsidR="00FD36E8" w:rsidRPr="00FD36E8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CALVIN-PWY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F2C70E9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Calvin-Benson-Bassham cycle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6F49D3E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Carbon consumption</w:t>
            </w:r>
          </w:p>
        </w:tc>
      </w:tr>
      <w:tr w:rsidR="00FD36E8" w:rsidRPr="007475FB" w14:paraId="3B6DE046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FEB72A0" w14:textId="77777777" w:rsidR="00FD36E8" w:rsidRPr="00FD36E8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THRESYN-PWY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6993A38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superpathway of L-threonine biosynthesis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F5B44DF" w14:textId="77777777" w:rsidR="00FD36E8" w:rsidRPr="007475FB" w:rsidRDefault="00FD36E8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D36E8">
              <w:rPr>
                <w:rFonts w:ascii="Times New Roman" w:hAnsi="Times New Roman" w:cs="Times New Roman"/>
                <w:sz w:val="15"/>
                <w:szCs w:val="15"/>
              </w:rPr>
              <w:t>Amino acid biosynthesis</w:t>
            </w:r>
          </w:p>
        </w:tc>
      </w:tr>
      <w:tr w:rsidR="00F93007" w:rsidRPr="007475FB" w14:paraId="5E68491B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141BF4A" w14:textId="77777777" w:rsidR="00F93007" w:rsidRPr="00FD36E8" w:rsidRDefault="00F93007" w:rsidP="00F9300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PWY0-1319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25435E6" w14:textId="77777777" w:rsidR="00F93007" w:rsidRPr="007475FB" w:rsidRDefault="00F93007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CDP-diacylglycerol biosynthesis II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3A4A55B" w14:textId="77777777" w:rsidR="00F93007" w:rsidRPr="007475FB" w:rsidRDefault="00F93007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Phospholipid biosynthesis</w:t>
            </w:r>
          </w:p>
        </w:tc>
      </w:tr>
      <w:tr w:rsidR="00F93007" w:rsidRPr="007475FB" w14:paraId="41107F4B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1C981B9" w14:textId="77777777" w:rsidR="00F93007" w:rsidRPr="00FD36E8" w:rsidRDefault="00F93007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PWY-5667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A828C26" w14:textId="77777777" w:rsidR="00F93007" w:rsidRPr="007475FB" w:rsidRDefault="00F93007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CDP-diacylglycerol biosynthesis I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D473D89" w14:textId="77777777" w:rsidR="00F93007" w:rsidRPr="007475FB" w:rsidRDefault="00F93007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93007" w:rsidRPr="007475FB" w14:paraId="3F3B3357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0F047E0" w14:textId="77777777" w:rsidR="00F93007" w:rsidRPr="00FD36E8" w:rsidRDefault="00F93007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COMPLETE-ARO-PWY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D0217DF" w14:textId="77777777" w:rsidR="00F93007" w:rsidRPr="007475FB" w:rsidRDefault="00F93007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superpathway of aromatic amino acid biosynthesis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45A8208" w14:textId="77777777" w:rsidR="00F93007" w:rsidRPr="007475FB" w:rsidRDefault="00F93007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Amino acid biosynthesis</w:t>
            </w:r>
          </w:p>
        </w:tc>
      </w:tr>
      <w:tr w:rsidR="00F93007" w:rsidRPr="007475FB" w14:paraId="03D60511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D2D608D" w14:textId="77777777" w:rsidR="00F93007" w:rsidRPr="00F93007" w:rsidRDefault="00F93007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PWY-3001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0DDFA28" w14:textId="77777777" w:rsidR="00F93007" w:rsidRPr="007475FB" w:rsidRDefault="00F93007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superpathway of L-isoleucine biosynthesis I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ED2B0D0" w14:textId="77777777" w:rsidR="00F93007" w:rsidRPr="007475FB" w:rsidRDefault="00F93007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9262B" w:rsidRPr="007475FB" w14:paraId="496DECFC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48D0710" w14:textId="77777777" w:rsidR="0089262B" w:rsidRPr="00F93007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FAO-PWY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154B8E4" w14:textId="1DC14F22" w:rsidR="0089262B" w:rsidRPr="007475FB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fatty acid &amp;beta-oxidation I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A45F8FD" w14:textId="77777777" w:rsidR="0089262B" w:rsidRPr="007475FB" w:rsidRDefault="0089262B" w:rsidP="004838F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Generation of precursor metabolites and energy</w:t>
            </w:r>
          </w:p>
        </w:tc>
      </w:tr>
      <w:tr w:rsidR="0089262B" w:rsidRPr="007475FB" w14:paraId="12F07552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92948AE" w14:textId="77777777" w:rsidR="0089262B" w:rsidRPr="00F93007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PWY-7111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FD5F97A" w14:textId="77777777" w:rsidR="0089262B" w:rsidRPr="007475FB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pyruvate fermentation to isobutanol (engineered)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ED094FD" w14:textId="77777777" w:rsidR="0089262B" w:rsidRPr="007475FB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93007" w:rsidRPr="007475FB" w14:paraId="56C26DAC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DD1823D" w14:textId="77777777" w:rsidR="00F93007" w:rsidRPr="00F93007" w:rsidRDefault="00F93007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3007">
              <w:rPr>
                <w:rFonts w:ascii="Times New Roman" w:hAnsi="Times New Roman" w:cs="Times New Roman"/>
                <w:sz w:val="15"/>
                <w:szCs w:val="15"/>
              </w:rPr>
              <w:t>PWY-7663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97E2185" w14:textId="77777777" w:rsidR="00F93007" w:rsidRPr="007475FB" w:rsidRDefault="0089262B" w:rsidP="0089262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gondoate biosynthesis (anaerobic)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6D8D078" w14:textId="77777777" w:rsidR="00F93007" w:rsidRPr="007475FB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Fatty acid biosynthesis</w:t>
            </w:r>
          </w:p>
        </w:tc>
      </w:tr>
      <w:tr w:rsidR="0089262B" w:rsidRPr="007475FB" w14:paraId="525831C7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BF656C4" w14:textId="77777777" w:rsidR="0089262B" w:rsidRPr="00F93007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BRANCHED-CHAIN-AA-SYN-PWY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46BA400" w14:textId="77777777" w:rsidR="0089262B" w:rsidRPr="0089262B" w:rsidRDefault="0089262B" w:rsidP="0089262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superpathway of branched amino acid biosynthesis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07F6526" w14:textId="77777777" w:rsidR="0089262B" w:rsidRPr="0089262B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Amino acid biosynthesis</w:t>
            </w:r>
          </w:p>
        </w:tc>
      </w:tr>
      <w:tr w:rsidR="0089262B" w:rsidRPr="007475FB" w14:paraId="78CA37E6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C7A8A5E" w14:textId="77777777" w:rsidR="0089262B" w:rsidRPr="00F93007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FASYN-ELONG-PWY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41B0148" w14:textId="77777777" w:rsidR="0089262B" w:rsidRPr="0089262B" w:rsidRDefault="0089262B" w:rsidP="0089262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fatty acid elongation -- saturated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B0CE56C" w14:textId="77777777" w:rsidR="0089262B" w:rsidRPr="0089262B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Fatty acid biosynthesis</w:t>
            </w:r>
          </w:p>
        </w:tc>
      </w:tr>
      <w:tr w:rsidR="0089262B" w:rsidRPr="007475FB" w14:paraId="5CB96CE6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0CF6054" w14:textId="77777777" w:rsidR="0089262B" w:rsidRPr="00F93007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PWY-5101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EAF2E0A" w14:textId="77777777" w:rsidR="0089262B" w:rsidRPr="0089262B" w:rsidRDefault="0089262B" w:rsidP="0089262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L-isoleucine biosynthesis II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185FFF7" w14:textId="77777777" w:rsidR="0089262B" w:rsidRPr="0089262B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Amino acid biosynthesis</w:t>
            </w:r>
          </w:p>
        </w:tc>
      </w:tr>
      <w:tr w:rsidR="0089262B" w:rsidRPr="007475FB" w14:paraId="7EB0F895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093A4A9" w14:textId="77777777" w:rsidR="0089262B" w:rsidRPr="0089262B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PWY-5973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B20B52B" w14:textId="77777777" w:rsidR="0089262B" w:rsidRPr="0089262B" w:rsidRDefault="0089262B" w:rsidP="0089262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cis-vaccenate biosynthesis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0D3214A" w14:textId="77777777" w:rsidR="0089262B" w:rsidRPr="0089262B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Fatty acid biosynthesis</w:t>
            </w:r>
          </w:p>
        </w:tc>
      </w:tr>
      <w:tr w:rsidR="0089262B" w:rsidRPr="007475FB" w14:paraId="596C3820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63D7120" w14:textId="77777777" w:rsidR="0089262B" w:rsidRPr="0089262B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VALSYN-PWY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E29C259" w14:textId="77777777" w:rsidR="0089262B" w:rsidRPr="0089262B" w:rsidRDefault="0089262B" w:rsidP="0089262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L-valine biosynthesis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311B57D" w14:textId="77777777" w:rsidR="0089262B" w:rsidRPr="0089262B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Amino acid biosynthesis</w:t>
            </w:r>
          </w:p>
        </w:tc>
      </w:tr>
      <w:tr w:rsidR="0089262B" w:rsidRPr="007475FB" w14:paraId="7659431E" w14:textId="77777777" w:rsidTr="0028147E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7B21AEA" w14:textId="77777777" w:rsidR="0089262B" w:rsidRPr="0089262B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ILEUSYN-PWY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6BF5414" w14:textId="77777777" w:rsidR="0089262B" w:rsidRPr="0089262B" w:rsidRDefault="0089262B" w:rsidP="0089262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9262B">
              <w:rPr>
                <w:rFonts w:ascii="Times New Roman" w:hAnsi="Times New Roman" w:cs="Times New Roman"/>
                <w:sz w:val="15"/>
                <w:szCs w:val="15"/>
              </w:rPr>
              <w:t>L-isoleucine biosynthesis I (from threonine)</w:t>
            </w: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50971A3" w14:textId="77777777" w:rsidR="0089262B" w:rsidRPr="0089262B" w:rsidRDefault="0089262B" w:rsidP="007614F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14:paraId="5970CBFC" w14:textId="77777777" w:rsidR="000964D8" w:rsidRPr="000964D8" w:rsidRDefault="000964D8" w:rsidP="000964D8"/>
    <w:p w14:paraId="574E6693" w14:textId="0CDB6C1D" w:rsidR="000964D8" w:rsidRPr="000964D8" w:rsidRDefault="000964D8" w:rsidP="000964D8">
      <w:pPr>
        <w:pStyle w:val="a3"/>
        <w:keepNext/>
        <w:rPr>
          <w:rFonts w:ascii="Times New Roman" w:hAnsi="Times New Roman" w:cs="Times New Roman"/>
        </w:rPr>
      </w:pPr>
      <w:r w:rsidRPr="000964D8">
        <w:rPr>
          <w:rFonts w:ascii="Times New Roman" w:hAnsi="Times New Roman" w:cs="Times New Roman"/>
          <w:b/>
        </w:rPr>
        <w:t>Table S</w:t>
      </w:r>
      <w:r w:rsidR="00CC5EF7"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/>
        </w:rPr>
        <w:t xml:space="preserve"> </w:t>
      </w:r>
      <w:r w:rsidRPr="000964D8">
        <w:rPr>
          <w:rFonts w:ascii="Times New Roman" w:hAnsi="Times New Roman" w:cs="Times New Roman"/>
        </w:rPr>
        <w:t>The table displays the trophic mode of fungal prediction by FUNGuild</w:t>
      </w:r>
    </w:p>
    <w:tbl>
      <w:tblPr>
        <w:tblStyle w:val="a5"/>
        <w:tblW w:w="7320" w:type="dxa"/>
        <w:tblLook w:val="0600" w:firstRow="0" w:lastRow="0" w:firstColumn="0" w:lastColumn="0" w:noHBand="1" w:noVBand="1"/>
      </w:tblPr>
      <w:tblGrid>
        <w:gridCol w:w="4364"/>
        <w:gridCol w:w="1478"/>
        <w:gridCol w:w="1478"/>
      </w:tblGrid>
      <w:tr w:rsidR="00FC226A" w:rsidRPr="00FC226A" w14:paraId="79CEDA93" w14:textId="77777777" w:rsidTr="000964D8">
        <w:tc>
          <w:tcPr>
            <w:tcW w:w="4364" w:type="dxa"/>
            <w:hideMark/>
          </w:tcPr>
          <w:p w14:paraId="75C2020C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Trophic Mode</w:t>
            </w:r>
          </w:p>
        </w:tc>
        <w:tc>
          <w:tcPr>
            <w:tcW w:w="1478" w:type="dxa"/>
            <w:hideMark/>
          </w:tcPr>
          <w:p w14:paraId="2ED56EBC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等线" w:hAnsi="Times New Roman" w:cs="Times New Roman"/>
                <w:kern w:val="24"/>
                <w:sz w:val="24"/>
                <w:szCs w:val="24"/>
              </w:rPr>
              <w:t>Day 0</w:t>
            </w:r>
          </w:p>
        </w:tc>
        <w:tc>
          <w:tcPr>
            <w:tcW w:w="1478" w:type="dxa"/>
            <w:hideMark/>
          </w:tcPr>
          <w:p w14:paraId="4D05FD2F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等线" w:hAnsi="Times New Roman" w:cs="Times New Roman"/>
                <w:kern w:val="24"/>
                <w:sz w:val="24"/>
                <w:szCs w:val="24"/>
              </w:rPr>
              <w:t>Day 28</w:t>
            </w:r>
          </w:p>
        </w:tc>
      </w:tr>
      <w:tr w:rsidR="00FC226A" w:rsidRPr="00FC226A" w14:paraId="37B827FD" w14:textId="77777777" w:rsidTr="000964D8">
        <w:trPr>
          <w:trHeight w:val="340"/>
        </w:trPr>
        <w:tc>
          <w:tcPr>
            <w:tcW w:w="4364" w:type="dxa"/>
            <w:hideMark/>
          </w:tcPr>
          <w:p w14:paraId="0FA425D4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Unassigned</w:t>
            </w:r>
          </w:p>
        </w:tc>
        <w:tc>
          <w:tcPr>
            <w:tcW w:w="1478" w:type="dxa"/>
            <w:hideMark/>
          </w:tcPr>
          <w:p w14:paraId="274BE333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0.082195</w:t>
            </w:r>
          </w:p>
        </w:tc>
        <w:tc>
          <w:tcPr>
            <w:tcW w:w="1478" w:type="dxa"/>
            <w:hideMark/>
          </w:tcPr>
          <w:p w14:paraId="2557E350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0.248605</w:t>
            </w:r>
          </w:p>
        </w:tc>
      </w:tr>
      <w:tr w:rsidR="00FC226A" w:rsidRPr="00FC226A" w14:paraId="039A2894" w14:textId="77777777" w:rsidTr="000964D8">
        <w:trPr>
          <w:trHeight w:val="340"/>
        </w:trPr>
        <w:tc>
          <w:tcPr>
            <w:tcW w:w="4364" w:type="dxa"/>
            <w:hideMark/>
          </w:tcPr>
          <w:p w14:paraId="2EE2EA08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Pathotroph-Saprotroph-Symbiotroph</w:t>
            </w:r>
          </w:p>
        </w:tc>
        <w:tc>
          <w:tcPr>
            <w:tcW w:w="1478" w:type="dxa"/>
            <w:hideMark/>
          </w:tcPr>
          <w:p w14:paraId="5238F592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0.007919</w:t>
            </w:r>
          </w:p>
        </w:tc>
        <w:tc>
          <w:tcPr>
            <w:tcW w:w="1478" w:type="dxa"/>
            <w:hideMark/>
          </w:tcPr>
          <w:p w14:paraId="6E31B282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0.043755</w:t>
            </w:r>
          </w:p>
        </w:tc>
      </w:tr>
      <w:tr w:rsidR="00FC226A" w:rsidRPr="00FC226A" w14:paraId="64ABC534" w14:textId="77777777" w:rsidTr="000964D8">
        <w:trPr>
          <w:trHeight w:val="340"/>
        </w:trPr>
        <w:tc>
          <w:tcPr>
            <w:tcW w:w="4364" w:type="dxa"/>
            <w:hideMark/>
          </w:tcPr>
          <w:p w14:paraId="4C137947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Symbiotroph</w:t>
            </w:r>
          </w:p>
        </w:tc>
        <w:tc>
          <w:tcPr>
            <w:tcW w:w="1478" w:type="dxa"/>
            <w:hideMark/>
          </w:tcPr>
          <w:p w14:paraId="22206586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0.002846</w:t>
            </w:r>
          </w:p>
        </w:tc>
        <w:tc>
          <w:tcPr>
            <w:tcW w:w="1478" w:type="dxa"/>
            <w:hideMark/>
          </w:tcPr>
          <w:p w14:paraId="4FE37928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0.000314</w:t>
            </w:r>
          </w:p>
        </w:tc>
      </w:tr>
      <w:tr w:rsidR="00FC226A" w:rsidRPr="00FC226A" w14:paraId="611C7F09" w14:textId="77777777" w:rsidTr="000964D8">
        <w:trPr>
          <w:trHeight w:val="340"/>
        </w:trPr>
        <w:tc>
          <w:tcPr>
            <w:tcW w:w="4364" w:type="dxa"/>
            <w:hideMark/>
          </w:tcPr>
          <w:p w14:paraId="2CB93548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Pathotroph-Symbiotroph</w:t>
            </w:r>
          </w:p>
        </w:tc>
        <w:tc>
          <w:tcPr>
            <w:tcW w:w="1478" w:type="dxa"/>
            <w:hideMark/>
          </w:tcPr>
          <w:p w14:paraId="583DD961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0.001676</w:t>
            </w:r>
          </w:p>
        </w:tc>
        <w:tc>
          <w:tcPr>
            <w:tcW w:w="1478" w:type="dxa"/>
            <w:hideMark/>
          </w:tcPr>
          <w:p w14:paraId="57C9505A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0.000536</w:t>
            </w:r>
          </w:p>
        </w:tc>
      </w:tr>
      <w:tr w:rsidR="00FC226A" w:rsidRPr="00FC226A" w14:paraId="3AD83D35" w14:textId="77777777" w:rsidTr="000964D8">
        <w:trPr>
          <w:trHeight w:val="340"/>
        </w:trPr>
        <w:tc>
          <w:tcPr>
            <w:tcW w:w="4364" w:type="dxa"/>
            <w:hideMark/>
          </w:tcPr>
          <w:p w14:paraId="1D425D27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Pathogen-Saprotroph-Symbiotroph</w:t>
            </w:r>
          </w:p>
        </w:tc>
        <w:tc>
          <w:tcPr>
            <w:tcW w:w="1478" w:type="dxa"/>
            <w:hideMark/>
          </w:tcPr>
          <w:p w14:paraId="15FC75B1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0.000248</w:t>
            </w:r>
          </w:p>
        </w:tc>
        <w:tc>
          <w:tcPr>
            <w:tcW w:w="1478" w:type="dxa"/>
            <w:hideMark/>
          </w:tcPr>
          <w:p w14:paraId="113BB695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5.60E-05</w:t>
            </w:r>
          </w:p>
        </w:tc>
      </w:tr>
      <w:tr w:rsidR="00FC226A" w:rsidRPr="00FC226A" w14:paraId="52B56079" w14:textId="77777777" w:rsidTr="000964D8">
        <w:trPr>
          <w:trHeight w:val="340"/>
        </w:trPr>
        <w:tc>
          <w:tcPr>
            <w:tcW w:w="4364" w:type="dxa"/>
            <w:hideMark/>
          </w:tcPr>
          <w:p w14:paraId="14B0F43F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bCs/>
                <w:kern w:val="24"/>
                <w:sz w:val="24"/>
                <w:szCs w:val="24"/>
              </w:rPr>
              <w:t>Saprotroph</w:t>
            </w:r>
          </w:p>
        </w:tc>
        <w:tc>
          <w:tcPr>
            <w:tcW w:w="1478" w:type="dxa"/>
            <w:hideMark/>
          </w:tcPr>
          <w:p w14:paraId="6396CE21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0.069782</w:t>
            </w:r>
          </w:p>
        </w:tc>
        <w:tc>
          <w:tcPr>
            <w:tcW w:w="1478" w:type="dxa"/>
            <w:hideMark/>
          </w:tcPr>
          <w:p w14:paraId="2B6EBF80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0.051706</w:t>
            </w:r>
          </w:p>
        </w:tc>
      </w:tr>
      <w:tr w:rsidR="00FC226A" w:rsidRPr="00FC226A" w14:paraId="21E6F539" w14:textId="77777777" w:rsidTr="000964D8">
        <w:trPr>
          <w:trHeight w:val="340"/>
        </w:trPr>
        <w:tc>
          <w:tcPr>
            <w:tcW w:w="4364" w:type="dxa"/>
            <w:hideMark/>
          </w:tcPr>
          <w:p w14:paraId="1342ED08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Saprotroph-Symbiotroph</w:t>
            </w:r>
          </w:p>
        </w:tc>
        <w:tc>
          <w:tcPr>
            <w:tcW w:w="1478" w:type="dxa"/>
            <w:hideMark/>
          </w:tcPr>
          <w:p w14:paraId="098C150A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0.001636</w:t>
            </w:r>
          </w:p>
        </w:tc>
        <w:tc>
          <w:tcPr>
            <w:tcW w:w="1478" w:type="dxa"/>
            <w:hideMark/>
          </w:tcPr>
          <w:p w14:paraId="5E0FDEE6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0.000908</w:t>
            </w:r>
          </w:p>
        </w:tc>
      </w:tr>
      <w:tr w:rsidR="00FC226A" w:rsidRPr="00FC226A" w14:paraId="12558575" w14:textId="77777777" w:rsidTr="000964D8">
        <w:trPr>
          <w:trHeight w:val="340"/>
        </w:trPr>
        <w:tc>
          <w:tcPr>
            <w:tcW w:w="4364" w:type="dxa"/>
            <w:hideMark/>
          </w:tcPr>
          <w:p w14:paraId="345A531D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bCs/>
                <w:kern w:val="24"/>
                <w:sz w:val="24"/>
                <w:szCs w:val="24"/>
              </w:rPr>
              <w:t>Pathotroph-Saprotroph</w:t>
            </w:r>
          </w:p>
        </w:tc>
        <w:tc>
          <w:tcPr>
            <w:tcW w:w="1478" w:type="dxa"/>
            <w:hideMark/>
          </w:tcPr>
          <w:p w14:paraId="08335D59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0.827825</w:t>
            </w:r>
          </w:p>
        </w:tc>
        <w:tc>
          <w:tcPr>
            <w:tcW w:w="1478" w:type="dxa"/>
            <w:hideMark/>
          </w:tcPr>
          <w:p w14:paraId="3590E2B2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0.650346</w:t>
            </w:r>
          </w:p>
        </w:tc>
      </w:tr>
      <w:tr w:rsidR="00FC226A" w:rsidRPr="00FC226A" w14:paraId="1BA08ACF" w14:textId="77777777" w:rsidTr="000964D8">
        <w:trPr>
          <w:trHeight w:val="340"/>
        </w:trPr>
        <w:tc>
          <w:tcPr>
            <w:tcW w:w="4364" w:type="dxa"/>
            <w:hideMark/>
          </w:tcPr>
          <w:p w14:paraId="75ED9538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Pathotroph</w:t>
            </w:r>
          </w:p>
        </w:tc>
        <w:tc>
          <w:tcPr>
            <w:tcW w:w="1478" w:type="dxa"/>
            <w:hideMark/>
          </w:tcPr>
          <w:p w14:paraId="36827CA1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0.005872</w:t>
            </w:r>
          </w:p>
        </w:tc>
        <w:tc>
          <w:tcPr>
            <w:tcW w:w="1478" w:type="dxa"/>
            <w:hideMark/>
          </w:tcPr>
          <w:p w14:paraId="46F40CEC" w14:textId="77777777" w:rsidR="00FC226A" w:rsidRPr="00FC226A" w:rsidRDefault="00FC226A" w:rsidP="00FC226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C226A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0.003773</w:t>
            </w:r>
          </w:p>
        </w:tc>
      </w:tr>
    </w:tbl>
    <w:p w14:paraId="78F9EF34" w14:textId="77777777" w:rsidR="006929AF" w:rsidRPr="00FC226A" w:rsidRDefault="006929AF"/>
    <w:sectPr w:rsidR="006929AF" w:rsidRPr="00FC2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6C119" w14:textId="77777777" w:rsidR="006908AE" w:rsidRDefault="006908AE" w:rsidP="007979E7">
      <w:r>
        <w:separator/>
      </w:r>
    </w:p>
  </w:endnote>
  <w:endnote w:type="continuationSeparator" w:id="0">
    <w:p w14:paraId="17A10E5C" w14:textId="77777777" w:rsidR="006908AE" w:rsidRDefault="006908AE" w:rsidP="0079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92304" w14:textId="77777777" w:rsidR="006908AE" w:rsidRDefault="006908AE" w:rsidP="007979E7">
      <w:r>
        <w:separator/>
      </w:r>
    </w:p>
  </w:footnote>
  <w:footnote w:type="continuationSeparator" w:id="0">
    <w:p w14:paraId="7FF0405C" w14:textId="77777777" w:rsidR="006908AE" w:rsidRDefault="006908AE" w:rsidP="00797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26A"/>
    <w:rsid w:val="00035D2F"/>
    <w:rsid w:val="00054952"/>
    <w:rsid w:val="000964D8"/>
    <w:rsid w:val="000B268B"/>
    <w:rsid w:val="0028147E"/>
    <w:rsid w:val="00425F15"/>
    <w:rsid w:val="00453F24"/>
    <w:rsid w:val="0059638B"/>
    <w:rsid w:val="006908AE"/>
    <w:rsid w:val="006929AF"/>
    <w:rsid w:val="006B4480"/>
    <w:rsid w:val="007475FB"/>
    <w:rsid w:val="007979E7"/>
    <w:rsid w:val="007B015A"/>
    <w:rsid w:val="007F42D2"/>
    <w:rsid w:val="008623FB"/>
    <w:rsid w:val="0089262B"/>
    <w:rsid w:val="008F2ACB"/>
    <w:rsid w:val="00A310A4"/>
    <w:rsid w:val="00AB6CFE"/>
    <w:rsid w:val="00AC2BAB"/>
    <w:rsid w:val="00BB7890"/>
    <w:rsid w:val="00CC5EF7"/>
    <w:rsid w:val="00D86D6D"/>
    <w:rsid w:val="00F93007"/>
    <w:rsid w:val="00FC226A"/>
    <w:rsid w:val="00FD36E8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619CC"/>
  <w15:chartTrackingRefBased/>
  <w15:docId w15:val="{C30A9075-E8F4-4EB3-96B2-E5F6A6C6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2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FC226A"/>
    <w:rPr>
      <w:rFonts w:asciiTheme="majorHAnsi" w:eastAsia="黑体" w:hAnsiTheme="majorHAnsi" w:cstheme="majorBidi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FC22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qFormat/>
    <w:rsid w:val="00FC2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97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979E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979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979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CFC19-2430-4505-AA76-8697EC6E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3</Pages>
  <Words>667</Words>
  <Characters>3808</Characters>
  <Application>Microsoft Office Word</Application>
  <DocSecurity>0</DocSecurity>
  <Lines>31</Lines>
  <Paragraphs>8</Paragraphs>
  <ScaleCrop>false</ScaleCrop>
  <Company>UAIT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徐 徐</cp:lastModifiedBy>
  <cp:revision>19</cp:revision>
  <dcterms:created xsi:type="dcterms:W3CDTF">2025-05-09T07:03:00Z</dcterms:created>
  <dcterms:modified xsi:type="dcterms:W3CDTF">2025-05-14T02:31:00Z</dcterms:modified>
</cp:coreProperties>
</file>