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487305">
      <w:pPr>
        <w:numPr>
          <w:ilvl w:val="0"/>
          <w:numId w:val="0"/>
        </w:numPr>
        <w:spacing w:line="360" w:lineRule="auto"/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Supplementary Figures</w:t>
      </w:r>
    </w:p>
    <w:p w14:paraId="68225656">
      <w:pPr>
        <w:numPr>
          <w:ilvl w:val="0"/>
          <w:numId w:val="0"/>
        </w:numPr>
        <w:spacing w:line="360" w:lineRule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Figure S1</w:t>
      </w:r>
    </w:p>
    <w:p w14:paraId="309E1505">
      <w:pPr>
        <w:numPr>
          <w:ilvl w:val="0"/>
          <w:numId w:val="0"/>
        </w:numPr>
        <w:spacing w:line="360" w:lineRule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7325" cy="3144520"/>
            <wp:effectExtent l="0" t="0" r="3175" b="5080"/>
            <wp:docPr id="3" name="图片 3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D50A3">
      <w:pPr>
        <w:numPr>
          <w:ilvl w:val="0"/>
          <w:numId w:val="0"/>
        </w:numPr>
        <w:spacing w:line="360" w:lineRule="auto"/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Figure S1. </w:t>
      </w:r>
      <w:r>
        <w:rPr>
          <w:rFonts w:hint="eastAsia" w:ascii="Times New Roman" w:hAnsi="Times New Roman" w:eastAsia="宋体" w:cs="Times New Roman"/>
          <w:b/>
          <w:bCs/>
          <w:i/>
          <w:color w:val="000000"/>
          <w:kern w:val="0"/>
          <w:sz w:val="24"/>
          <w:szCs w:val="24"/>
          <w:lang w:val="en-US" w:eastAsia="zh-CN" w:bidi="ar"/>
        </w:rPr>
        <w:t xml:space="preserve">H. pylori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infection was associated with impaired glucose disturbances in a retrospective cohort.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A. flow chart of the study; B. Blood glucose levels; C. HbA1c (%) levels; D. FBG change before and after </w:t>
      </w:r>
      <w:r>
        <w:rPr>
          <w:rFonts w:hint="eastAsia" w:ascii="Times New Roman" w:hAnsi="Times New Roman" w:eastAsia="宋体" w:cs="Times New Roman"/>
          <w:b w:val="0"/>
          <w:bCs w:val="0"/>
          <w:i/>
          <w:color w:val="000000"/>
          <w:kern w:val="0"/>
          <w:sz w:val="24"/>
          <w:szCs w:val="24"/>
          <w:lang w:val="en-US" w:eastAsia="zh-CN" w:bidi="ar"/>
        </w:rPr>
        <w:t xml:space="preserve">H. pylori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infection; E. HbA1c (%) change before and after </w:t>
      </w:r>
      <w:r>
        <w:rPr>
          <w:rFonts w:hint="eastAsia" w:ascii="Times New Roman" w:hAnsi="Times New Roman" w:eastAsia="宋体" w:cs="Times New Roman"/>
          <w:b w:val="0"/>
          <w:bCs w:val="0"/>
          <w:i/>
          <w:color w:val="000000"/>
          <w:kern w:val="0"/>
          <w:sz w:val="24"/>
          <w:szCs w:val="24"/>
          <w:lang w:val="en-US" w:eastAsia="zh-CN" w:bidi="ar"/>
        </w:rPr>
        <w:t xml:space="preserve">H. pylori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infection</w:t>
      </w:r>
    </w:p>
    <w:p w14:paraId="32B55804">
      <w:pPr>
        <w:numPr>
          <w:ilvl w:val="0"/>
          <w:numId w:val="0"/>
        </w:numPr>
        <w:spacing w:line="360" w:lineRule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611F9109">
      <w:pPr>
        <w:numPr>
          <w:ilvl w:val="0"/>
          <w:numId w:val="0"/>
        </w:numPr>
        <w:spacing w:line="360" w:lineRule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14BB791B">
      <w:pPr>
        <w:numPr>
          <w:ilvl w:val="0"/>
          <w:numId w:val="0"/>
        </w:numPr>
        <w:spacing w:line="360" w:lineRule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48219792">
      <w:pPr>
        <w:numPr>
          <w:ilvl w:val="0"/>
          <w:numId w:val="0"/>
        </w:numPr>
        <w:spacing w:line="360" w:lineRule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5BBF6DA1">
      <w:pPr>
        <w:numPr>
          <w:ilvl w:val="0"/>
          <w:numId w:val="0"/>
        </w:numPr>
        <w:spacing w:line="360" w:lineRule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56DC2CDC">
      <w:pPr>
        <w:numPr>
          <w:ilvl w:val="0"/>
          <w:numId w:val="0"/>
        </w:numPr>
        <w:spacing w:line="360" w:lineRule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5C65016A">
      <w:pPr>
        <w:numPr>
          <w:ilvl w:val="0"/>
          <w:numId w:val="0"/>
        </w:numPr>
        <w:spacing w:line="360" w:lineRule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3FC207A4">
      <w:pPr>
        <w:numPr>
          <w:ilvl w:val="0"/>
          <w:numId w:val="0"/>
        </w:numPr>
        <w:spacing w:line="360" w:lineRule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24C44BF8">
      <w:pPr>
        <w:numPr>
          <w:ilvl w:val="0"/>
          <w:numId w:val="0"/>
        </w:numPr>
        <w:spacing w:line="360" w:lineRule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1FAAAC3C">
      <w:pPr>
        <w:numPr>
          <w:ilvl w:val="0"/>
          <w:numId w:val="0"/>
        </w:numPr>
        <w:spacing w:line="360" w:lineRule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7CED546B">
      <w:pPr>
        <w:numPr>
          <w:ilvl w:val="0"/>
          <w:numId w:val="0"/>
        </w:numPr>
        <w:spacing w:line="360" w:lineRule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7E52DD09">
      <w:pPr>
        <w:numPr>
          <w:ilvl w:val="0"/>
          <w:numId w:val="0"/>
        </w:numPr>
        <w:spacing w:line="360" w:lineRule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27988C58">
      <w:pPr>
        <w:numPr>
          <w:ilvl w:val="0"/>
          <w:numId w:val="0"/>
        </w:numPr>
        <w:spacing w:line="360" w:lineRule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61842E1D">
      <w:pPr>
        <w:numPr>
          <w:ilvl w:val="0"/>
          <w:numId w:val="0"/>
        </w:numPr>
        <w:spacing w:line="360" w:lineRule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Figure S2</w:t>
      </w:r>
    </w:p>
    <w:p w14:paraId="7A9D0CAF">
      <w:pPr>
        <w:numPr>
          <w:ilvl w:val="0"/>
          <w:numId w:val="0"/>
        </w:numPr>
        <w:spacing w:line="360" w:lineRule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3040" cy="4836795"/>
            <wp:effectExtent l="0" t="0" r="10160" b="1905"/>
            <wp:docPr id="8" name="图片 8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ure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83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30A1F">
      <w:pPr>
        <w:numPr>
          <w:ilvl w:val="0"/>
          <w:numId w:val="0"/>
        </w:numPr>
        <w:spacing w:line="360" w:lineRule="auto"/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Figure S2. In vitro and in vivo validation of </w:t>
      </w:r>
      <w:r>
        <w:rPr>
          <w:rFonts w:hint="eastAsia" w:ascii="Times New Roman" w:hAnsi="Times New Roman" w:eastAsia="宋体" w:cs="Times New Roman"/>
          <w:b/>
          <w:bCs/>
          <w:i/>
          <w:color w:val="000000"/>
          <w:kern w:val="0"/>
          <w:sz w:val="24"/>
          <w:szCs w:val="24"/>
          <w:lang w:val="en-US" w:eastAsia="zh-CN" w:bidi="ar"/>
        </w:rPr>
        <w:t xml:space="preserve">H. pylori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infection.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A. Positive Rapid urease test; B. Electrophoregram of PCR product of </w:t>
      </w:r>
      <w:r>
        <w:rPr>
          <w:rFonts w:hint="eastAsia" w:ascii="Times New Roman" w:hAnsi="Times New Roman" w:eastAsia="宋体" w:cs="Times New Roman"/>
          <w:b w:val="0"/>
          <w:bCs w:val="0"/>
          <w:i/>
          <w:color w:val="000000"/>
          <w:kern w:val="0"/>
          <w:sz w:val="24"/>
          <w:szCs w:val="24"/>
          <w:lang w:val="en-US" w:eastAsia="zh-CN" w:bidi="ar"/>
        </w:rPr>
        <w:t xml:space="preserve">H. pylori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SS1 strain; C. Positive fecal HpSA; D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. 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Representative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pictures of gastric CD3+ staining and quantification of the CD3+ positive cells per mm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vertAlign w:val="superscript"/>
          <w:lang w:val="en-US" w:eastAsia="zh-CN" w:bidi="ar"/>
        </w:rPr>
        <w:t>2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vertAlign w:val="baseline"/>
          <w:lang w:val="en-US" w:eastAsia="zh-CN" w:bidi="ar"/>
        </w:rPr>
        <w:t xml:space="preserve">;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E 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The count of </w:t>
      </w:r>
      <w:r>
        <w:rPr>
          <w:rFonts w:hint="eastAsia" w:ascii="Times New Roman" w:hAnsi="Times New Roman" w:eastAsia="宋体" w:cs="Times New Roman"/>
          <w:b w:val="0"/>
          <w:bCs w:val="0"/>
          <w:i/>
          <w:color w:val="000000"/>
          <w:kern w:val="0"/>
          <w:sz w:val="24"/>
          <w:szCs w:val="24"/>
          <w:lang w:val="en-US" w:eastAsia="zh-CN" w:bidi="ar"/>
        </w:rPr>
        <w:t xml:space="preserve">H. pylori 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colonization (CFU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/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mg) after plating homogenized stomach and colonic tissue on WC Dent plates supplemented with 200 g/ml bacitracin, 10 g/ml nalidixic acid and 3 g/ml polymycin B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; F. PCoA plot based on Bray-Curtis distances of microbial 16s rRNA sequencing of gastric tissue; G. LefsE analysis of differential bacteria and LDA values;</w:t>
      </w:r>
    </w:p>
    <w:p w14:paraId="1541C6D4">
      <w:pPr>
        <w:numPr>
          <w:ilvl w:val="0"/>
          <w:numId w:val="0"/>
        </w:numPr>
        <w:spacing w:line="360" w:lineRule="auto"/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</w:p>
    <w:p w14:paraId="6C198C80">
      <w:pPr>
        <w:numPr>
          <w:ilvl w:val="0"/>
          <w:numId w:val="0"/>
        </w:numPr>
        <w:spacing w:line="360" w:lineRule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1D0BCBA0">
      <w:pPr>
        <w:numPr>
          <w:ilvl w:val="0"/>
          <w:numId w:val="0"/>
        </w:numPr>
        <w:spacing w:line="360" w:lineRule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3200776C">
      <w:pPr>
        <w:numPr>
          <w:ilvl w:val="0"/>
          <w:numId w:val="0"/>
        </w:numPr>
        <w:spacing w:line="360" w:lineRule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4E45C333">
      <w:pPr>
        <w:numPr>
          <w:ilvl w:val="0"/>
          <w:numId w:val="0"/>
        </w:numPr>
        <w:spacing w:line="360" w:lineRule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Figure S3</w:t>
      </w:r>
    </w:p>
    <w:p w14:paraId="744FE036">
      <w:pPr>
        <w:numPr>
          <w:ilvl w:val="0"/>
          <w:numId w:val="0"/>
        </w:numPr>
        <w:spacing w:line="360" w:lineRule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5420" cy="4353560"/>
            <wp:effectExtent l="0" t="0" r="5080" b="2540"/>
            <wp:docPr id="9" name="图片 9" descr="Figure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igure 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435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DB6A1">
      <w:pPr>
        <w:numPr>
          <w:ilvl w:val="0"/>
          <w:numId w:val="0"/>
        </w:numPr>
        <w:spacing w:line="360" w:lineRule="auto"/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Figure S3. </w:t>
      </w:r>
      <w:r>
        <w:rPr>
          <w:rFonts w:hint="eastAsia" w:ascii="Times New Roman" w:hAnsi="Times New Roman" w:eastAsia="宋体" w:cs="Times New Roman"/>
          <w:b/>
          <w:bCs/>
          <w:i/>
          <w:color w:val="000000"/>
          <w:kern w:val="0"/>
          <w:sz w:val="24"/>
          <w:szCs w:val="24"/>
          <w:lang w:val="en-US" w:eastAsia="zh-CN" w:bidi="ar"/>
        </w:rPr>
        <w:t xml:space="preserve">H. pylori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infection induces the disturbance of gastric flora, which further causes the imbalance of intestinal flora. 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A. Bar graph of the top 20 bacterial genera ranked by 16s rRNA sequencing abundance of mouse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gastric 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antral mucosa, with the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X-axis 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representing grouping and the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Y 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representing each genus as a percentage of the overall microflora distribution. B-E. Scatter plot of the correlation between the abundance of </w:t>
      </w:r>
      <w:r>
        <w:rPr>
          <w:rFonts w:hint="eastAsia" w:ascii="Times New Roman" w:hAnsi="Times New Roman" w:eastAsia="宋体" w:cs="Times New Roman"/>
          <w:b w:val="0"/>
          <w:bCs w:val="0"/>
          <w:i/>
          <w:color w:val="000000"/>
          <w:kern w:val="0"/>
          <w:sz w:val="24"/>
          <w:szCs w:val="24"/>
          <w:lang w:val="en-US" w:eastAsia="zh-CN" w:bidi="ar"/>
        </w:rPr>
        <w:t xml:space="preserve">Helicobacter 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in the stomach and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cecal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i/>
          <w:color w:val="000000"/>
          <w:kern w:val="0"/>
          <w:sz w:val="24"/>
          <w:szCs w:val="24"/>
          <w:lang w:val="en-US" w:eastAsia="zh-CN" w:bidi="ar"/>
        </w:rPr>
        <w:t xml:space="preserve">Helicobacter 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(B-C),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c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ecal </w:t>
      </w:r>
      <w:r>
        <w:rPr>
          <w:rFonts w:hint="eastAsia" w:ascii="Times New Roman" w:hAnsi="Times New Roman" w:eastAsia="宋体" w:cs="Times New Roman"/>
          <w:b w:val="0"/>
          <w:bCs w:val="0"/>
          <w:i/>
          <w:color w:val="000000"/>
          <w:kern w:val="0"/>
          <w:sz w:val="24"/>
          <w:szCs w:val="24"/>
          <w:lang w:val="en-US" w:eastAsia="zh-CN" w:bidi="ar"/>
        </w:rPr>
        <w:t xml:space="preserve">H. pylori 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abundance (D), colon mucosa </w:t>
      </w:r>
      <w:r>
        <w:rPr>
          <w:rFonts w:hint="eastAsia" w:ascii="Times New Roman" w:hAnsi="Times New Roman" w:eastAsia="宋体" w:cs="Times New Roman"/>
          <w:b w:val="0"/>
          <w:bCs w:val="0"/>
          <w:i/>
          <w:color w:val="000000"/>
          <w:kern w:val="0"/>
          <w:sz w:val="24"/>
          <w:szCs w:val="24"/>
          <w:lang w:val="en-US" w:eastAsia="zh-CN" w:bidi="ar"/>
        </w:rPr>
        <w:t xml:space="preserve">Helicobacter 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(E)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 and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 colon non-</w:t>
      </w:r>
      <w:r>
        <w:rPr>
          <w:rFonts w:hint="eastAsia" w:ascii="Times New Roman" w:hAnsi="Times New Roman" w:eastAsia="宋体" w:cs="Times New Roman"/>
          <w:b w:val="0"/>
          <w:bCs w:val="0"/>
          <w:i/>
          <w:color w:val="000000"/>
          <w:kern w:val="0"/>
          <w:sz w:val="24"/>
          <w:szCs w:val="24"/>
          <w:lang w:val="en-US" w:eastAsia="zh-CN" w:bidi="ar"/>
        </w:rPr>
        <w:t xml:space="preserve">H. pylori Helicobacter 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species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 (F)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;</w:t>
      </w:r>
    </w:p>
    <w:p w14:paraId="6DA8693B">
      <w:pPr>
        <w:numPr>
          <w:ilvl w:val="0"/>
          <w:numId w:val="0"/>
        </w:numPr>
        <w:spacing w:line="360" w:lineRule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387C4036">
      <w:pPr>
        <w:numPr>
          <w:ilvl w:val="0"/>
          <w:numId w:val="0"/>
        </w:numPr>
        <w:spacing w:line="360" w:lineRule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01C44F84">
      <w:pPr>
        <w:numPr>
          <w:ilvl w:val="0"/>
          <w:numId w:val="0"/>
        </w:numPr>
        <w:spacing w:line="360" w:lineRule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62894448">
      <w:pPr>
        <w:numPr>
          <w:ilvl w:val="0"/>
          <w:numId w:val="0"/>
        </w:numPr>
        <w:spacing w:line="360" w:lineRule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114BC6C9">
      <w:pPr>
        <w:numPr>
          <w:ilvl w:val="0"/>
          <w:numId w:val="0"/>
        </w:numPr>
        <w:spacing w:line="360" w:lineRule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4135A748">
      <w:pPr>
        <w:numPr>
          <w:ilvl w:val="0"/>
          <w:numId w:val="0"/>
        </w:numPr>
        <w:spacing w:line="360" w:lineRule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5A40C620">
      <w:pPr>
        <w:numPr>
          <w:ilvl w:val="0"/>
          <w:numId w:val="0"/>
        </w:numPr>
        <w:spacing w:line="360" w:lineRule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Figure S4</w:t>
      </w:r>
    </w:p>
    <w:p w14:paraId="28D5CDC5">
      <w:pPr>
        <w:numPr>
          <w:ilvl w:val="0"/>
          <w:numId w:val="0"/>
        </w:numPr>
        <w:spacing w:line="360" w:lineRule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1135" cy="2393950"/>
            <wp:effectExtent l="0" t="0" r="12065" b="6350"/>
            <wp:docPr id="10" name="图片 10" descr="Figure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Figure S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9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82F41">
      <w:pPr>
        <w:numPr>
          <w:ilvl w:val="0"/>
          <w:numId w:val="0"/>
        </w:numPr>
        <w:spacing w:line="360" w:lineRule="auto"/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Figure S4. </w:t>
      </w:r>
      <w:r>
        <w:rPr>
          <w:rFonts w:hint="eastAsia" w:ascii="Times New Roman" w:hAnsi="Times New Roman" w:eastAsia="宋体" w:cs="Times New Roman"/>
          <w:b/>
          <w:bCs/>
          <w:i/>
          <w:color w:val="000000"/>
          <w:kern w:val="0"/>
          <w:sz w:val="24"/>
          <w:szCs w:val="24"/>
          <w:lang w:val="en-US" w:eastAsia="zh-CN" w:bidi="ar"/>
        </w:rPr>
        <w:t xml:space="preserve">H. pylori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alters intestinal microbial composition.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 A. Specific microbial composition comparison at the phylum level. B. Microbial composition at the genus level. 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color w:val="000000"/>
          <w:kern w:val="0"/>
          <w:sz w:val="24"/>
          <w:szCs w:val="24"/>
          <w:lang w:val="en-US" w:eastAsia="zh-CN" w:bidi="ar"/>
        </w:rPr>
        <w:t>*p&lt;0.05，**p&lt;0.01，***p&lt;0.001.</w:t>
      </w:r>
    </w:p>
    <w:p w14:paraId="38BF4F34">
      <w:pPr>
        <w:numPr>
          <w:ilvl w:val="0"/>
          <w:numId w:val="0"/>
        </w:numPr>
        <w:spacing w:line="360" w:lineRule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3823C654">
      <w:pPr>
        <w:numPr>
          <w:ilvl w:val="0"/>
          <w:numId w:val="0"/>
        </w:numPr>
        <w:spacing w:line="360" w:lineRule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416459E8">
      <w:pPr>
        <w:numPr>
          <w:ilvl w:val="0"/>
          <w:numId w:val="0"/>
        </w:numPr>
        <w:spacing w:line="360" w:lineRule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6EEFCB39">
      <w:pPr>
        <w:numPr>
          <w:ilvl w:val="0"/>
          <w:numId w:val="0"/>
        </w:numPr>
        <w:spacing w:line="360" w:lineRule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653A79D3">
      <w:pPr>
        <w:numPr>
          <w:ilvl w:val="0"/>
          <w:numId w:val="0"/>
        </w:numPr>
        <w:spacing w:line="360" w:lineRule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34F332C8">
      <w:pPr>
        <w:numPr>
          <w:ilvl w:val="0"/>
          <w:numId w:val="0"/>
        </w:numPr>
        <w:spacing w:line="360" w:lineRule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2E676A36">
      <w:pPr>
        <w:numPr>
          <w:ilvl w:val="0"/>
          <w:numId w:val="0"/>
        </w:numPr>
        <w:spacing w:line="360" w:lineRule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30D4A81C">
      <w:pPr>
        <w:numPr>
          <w:ilvl w:val="0"/>
          <w:numId w:val="0"/>
        </w:numPr>
        <w:spacing w:line="360" w:lineRule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124057C0">
      <w:pPr>
        <w:numPr>
          <w:ilvl w:val="0"/>
          <w:numId w:val="0"/>
        </w:numPr>
        <w:spacing w:line="360" w:lineRule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0D53251B">
      <w:pPr>
        <w:numPr>
          <w:ilvl w:val="0"/>
          <w:numId w:val="0"/>
        </w:numPr>
        <w:spacing w:line="360" w:lineRule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192AA78F">
      <w:pPr>
        <w:numPr>
          <w:ilvl w:val="0"/>
          <w:numId w:val="0"/>
        </w:numPr>
        <w:spacing w:line="360" w:lineRule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6865D871">
      <w:pPr>
        <w:numPr>
          <w:ilvl w:val="0"/>
          <w:numId w:val="0"/>
        </w:numPr>
        <w:spacing w:line="360" w:lineRule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62A8A856">
      <w:pPr>
        <w:numPr>
          <w:ilvl w:val="0"/>
          <w:numId w:val="0"/>
        </w:numPr>
        <w:spacing w:line="360" w:lineRule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0C541FDE">
      <w:pPr>
        <w:numPr>
          <w:ilvl w:val="0"/>
          <w:numId w:val="0"/>
        </w:numPr>
        <w:spacing w:line="360" w:lineRule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08055E2B">
      <w:pPr>
        <w:numPr>
          <w:ilvl w:val="0"/>
          <w:numId w:val="0"/>
        </w:numPr>
        <w:spacing w:line="360" w:lineRule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228D08CD">
      <w:pPr>
        <w:numPr>
          <w:ilvl w:val="0"/>
          <w:numId w:val="0"/>
        </w:numPr>
        <w:spacing w:line="360" w:lineRule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1A89654C">
      <w:pPr>
        <w:numPr>
          <w:ilvl w:val="0"/>
          <w:numId w:val="0"/>
        </w:numPr>
        <w:spacing w:line="360" w:lineRule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4C3F1BF9">
      <w:pPr>
        <w:numPr>
          <w:ilvl w:val="0"/>
          <w:numId w:val="0"/>
        </w:numPr>
        <w:spacing w:line="360" w:lineRule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Figure S5</w:t>
      </w:r>
    </w:p>
    <w:p w14:paraId="63734B3B">
      <w:pPr>
        <w:numPr>
          <w:ilvl w:val="0"/>
          <w:numId w:val="0"/>
        </w:numPr>
        <w:spacing w:line="360" w:lineRule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7325" cy="2868295"/>
            <wp:effectExtent l="0" t="0" r="3175" b="1905"/>
            <wp:docPr id="11" name="图片 11" descr="Figure 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Figure S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86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2B42E">
      <w:pPr>
        <w:numPr>
          <w:ilvl w:val="0"/>
          <w:numId w:val="0"/>
        </w:numPr>
        <w:spacing w:line="360" w:lineRule="auto"/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Figure S5. </w:t>
      </w:r>
      <w:r>
        <w:rPr>
          <w:rFonts w:hint="eastAsia" w:ascii="Times New Roman" w:hAnsi="Times New Roman" w:eastAsia="宋体" w:cs="Times New Roman"/>
          <w:b/>
          <w:bCs/>
          <w:i/>
          <w:color w:val="000000"/>
          <w:kern w:val="0"/>
          <w:sz w:val="24"/>
          <w:szCs w:val="24"/>
          <w:lang w:val="en-US" w:eastAsia="zh-CN" w:bidi="ar"/>
        </w:rPr>
        <w:t xml:space="preserve">H. pylori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infection downregulated GLP-1 secretion, intro-cellular cAMP levels, and proglucagon transcription.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STC-1 and NCI-H716 cells were treated with 200ul of fecal supernatant of HFD Hp+ group, HFD Hp- group and CD Hp- group, and a blank control. A-B: STC-1 (A) and NCI-H716 (B) cells were incubated in fecal supernatant for 1 h for determination of acute GLP-1 secretion. C-D: STC-1 (A) and NCI-H716 (B) cells were incubated in fecal supernatant for 24 h for determination of acute GLP-1 secretion. E-F: STC-1 (E) and NCI-H716 cells (F) were incubated in fecal supernatant for 24 h for determination of proglucagon transcription.</w:t>
      </w:r>
    </w:p>
    <w:p w14:paraId="64663ACE">
      <w:pPr>
        <w:numPr>
          <w:ilvl w:val="0"/>
          <w:numId w:val="0"/>
        </w:numPr>
        <w:spacing w:line="360" w:lineRule="auto"/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G-H: STC-1 (G) and NCI-H716 cells (H) were incubated in fecal supernatant for 24 h for determination of cAMP expression.</w:t>
      </w:r>
    </w:p>
    <w:p w14:paraId="28901813">
      <w:pPr>
        <w:numPr>
          <w:ilvl w:val="0"/>
          <w:numId w:val="0"/>
        </w:numPr>
        <w:spacing w:line="360" w:lineRule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 w14:paraId="6790BA69">
      <w:pPr>
        <w:numPr>
          <w:ilvl w:val="0"/>
          <w:numId w:val="0"/>
        </w:numPr>
        <w:spacing w:line="360" w:lineRule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Supplemental Table List</w:t>
      </w:r>
    </w:p>
    <w:p w14:paraId="210C56E7">
      <w:pPr>
        <w:numPr>
          <w:ilvl w:val="0"/>
          <w:numId w:val="0"/>
        </w:numPr>
        <w:spacing w:line="360" w:lineRule="auto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Table S1. Baseline characteristics of the human retrospective cohort study</w:t>
      </w:r>
    </w:p>
    <w:p w14:paraId="1A89DF97">
      <w:pPr>
        <w:numPr>
          <w:ilvl w:val="0"/>
          <w:numId w:val="0"/>
        </w:numPr>
        <w:spacing w:line="360" w:lineRule="auto"/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Table S2. GESA analysis of the Murine colonic tissue after </w:t>
      </w:r>
      <w:r>
        <w:rPr>
          <w:rFonts w:hint="eastAsia" w:ascii="Times New Roman" w:hAnsi="Times New Roman" w:eastAsia="宋体" w:cs="Times New Roman"/>
          <w:i/>
          <w:iCs/>
          <w:color w:val="000000"/>
          <w:kern w:val="0"/>
          <w:sz w:val="24"/>
          <w:szCs w:val="24"/>
          <w:highlight w:val="none"/>
          <w:lang w:val="en-US" w:eastAsia="zh-CN" w:bidi="ar"/>
        </w:rPr>
        <w:t>H. Pylori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 infection through RNA-seq</w:t>
      </w:r>
    </w:p>
    <w:p w14:paraId="7942F757">
      <w:pPr>
        <w:numPr>
          <w:ilvl w:val="0"/>
          <w:numId w:val="0"/>
        </w:numPr>
        <w:spacing w:line="360" w:lineRule="auto"/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Table S3. Correlation between the abundance of the genera Helicobacter in Murine gastric tissue and intestinal contents</w:t>
      </w:r>
    </w:p>
    <w:p w14:paraId="0CE75BC2">
      <w:pPr>
        <w:numPr>
          <w:ilvl w:val="0"/>
          <w:numId w:val="0"/>
        </w:numPr>
        <w:spacing w:line="360" w:lineRule="auto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Table S4 Remarkable enriched species in colonic contents from </w:t>
      </w:r>
      <w:r>
        <w:rPr>
          <w:rFonts w:hint="default" w:ascii="Times New Roman" w:hAnsi="Times New Roman" w:eastAsia="宋体" w:cs="Times New Roman"/>
          <w:i/>
          <w:iCs/>
          <w:color w:val="000000"/>
          <w:kern w:val="0"/>
          <w:sz w:val="24"/>
          <w:szCs w:val="24"/>
          <w:highlight w:val="none"/>
          <w:lang w:val="en-US" w:eastAsia="zh-CN" w:bidi="ar"/>
        </w:rPr>
        <w:t>H. pylori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inflected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 diabetic mice</w:t>
      </w:r>
    </w:p>
    <w:p w14:paraId="61D2D9E0">
      <w:pPr>
        <w:numPr>
          <w:ilvl w:val="0"/>
          <w:numId w:val="0"/>
        </w:numPr>
        <w:spacing w:line="360" w:lineRule="auto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Table S5. RDA redundancy analysis of the correlation between the bacterial flora of </w:t>
      </w:r>
      <w:r>
        <w:rPr>
          <w:rFonts w:hint="default" w:ascii="Times New Roman" w:hAnsi="Times New Roman" w:eastAsia="宋体" w:cs="Times New Roman"/>
          <w:i/>
          <w:iCs/>
          <w:color w:val="000000"/>
          <w:kern w:val="0"/>
          <w:sz w:val="24"/>
          <w:szCs w:val="24"/>
          <w:highlight w:val="none"/>
          <w:lang w:val="en-US" w:eastAsia="zh-CN" w:bidi="ar"/>
        </w:rPr>
        <w:t>H. pylori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-infected diabetic mice and blood glucose parameters</w:t>
      </w:r>
    </w:p>
    <w:p w14:paraId="64F41A24">
      <w:pPr>
        <w:numPr>
          <w:ilvl w:val="0"/>
          <w:numId w:val="0"/>
        </w:numPr>
        <w:spacing w:line="360" w:lineRule="auto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Table S6. Spearman analysis of the correlation between remarkable changed colonic microbiota and metabolic parameters in </w:t>
      </w:r>
      <w:r>
        <w:rPr>
          <w:rFonts w:hint="default" w:ascii="Times New Roman" w:hAnsi="Times New Roman" w:eastAsia="宋体" w:cs="Times New Roman"/>
          <w:i/>
          <w:iCs/>
          <w:color w:val="000000"/>
          <w:kern w:val="0"/>
          <w:sz w:val="24"/>
          <w:szCs w:val="24"/>
          <w:highlight w:val="none"/>
          <w:lang w:val="en-US" w:eastAsia="zh-CN" w:bidi="ar"/>
        </w:rPr>
        <w:t>H. pylori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 infected diabetic mice</w:t>
      </w:r>
    </w:p>
    <w:p w14:paraId="421266A0">
      <w:pPr>
        <w:spacing w:line="360" w:lineRule="auto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 w:eastAsia="zh-CN"/>
        </w:rPr>
      </w:pPr>
    </w:p>
    <w:p w14:paraId="5F534FF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0414FF"/>
    <w:rsid w:val="7404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2025-08-20T12:45:00Z</dcterms:created>
  <dc:creator>Han_Chen</dc:creator>
  <cp:lastModifiedBy>Han_Chen</cp:lastModifiedBy>
  <dcterms:modified xsi:type="dcterms:W3CDTF">2025-08-20T12:46:08Z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4A0D3B09C8AC48D0A15BB9F772395110_11</vt:lpwstr>
  </property>
  <property fmtid="{D5CDD505-2E9C-101B-9397-08002B2CF9AE}" pid="4" name="KSOTemplateDocerSaveRecord">
    <vt:lpwstr>eyJoZGlkIjoiYmM3MDdjZTQzODE5MDI2MTM0YWM5ZGZmZTdhMzg0MTEiLCJ1c2VySWQiOiIyMTA0NjA1MjUifQ==</vt:lpwstr>
  </property>
</Properties>
</file>