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4B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 xml:space="preserve">Notoginsenoside Ft1 enhances the effectiveness of gentamicin against </w:t>
      </w:r>
      <w:bookmarkStart w:id="1" w:name="OLE_LINK4"/>
      <w:r>
        <w:rPr>
          <w:rFonts w:hint="default" w:ascii="Times New Roman" w:hAnsi="Times New Roman" w:eastAsia="Segoe UI" w:cs="Times New Roman"/>
          <w:b/>
          <w:bCs/>
          <w:i/>
          <w:iCs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Escherichia coli</w:t>
      </w:r>
      <w:bookmarkEnd w:id="1"/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 xml:space="preserve"> by interfering with intrinsic antibacterial mechanisms.</w:t>
      </w:r>
    </w:p>
    <w:p w14:paraId="111101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bookmarkEnd w:id="0"/>
    <w:p w14:paraId="57666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 w:eastAsiaTheme="minorEastAsia"/>
          <w:b/>
          <w:bCs/>
          <w:caps w:val="0"/>
          <w:color w:val="1F1F1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Yasong Yan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superscript"/>
          <w:lang w:val="en-US" w:eastAsia="zh-CN" w:bidi="ar"/>
        </w:rPr>
        <w:t>c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Yan Zhang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kern w:val="0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b, 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superscript"/>
          <w:lang w:val="en-US" w:eastAsia="zh-CN" w:bidi="ar"/>
        </w:rPr>
        <w:t>c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Xinjun Zhou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a, 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superscript"/>
          <w:lang w:val="en-US" w:eastAsia="zh-CN" w:bidi="ar"/>
        </w:rPr>
        <w:t>c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Xuefang Xu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kern w:val="0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b, 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superscript"/>
          <w:lang w:val="en-US" w:eastAsia="zh-CN" w:bidi="ar"/>
        </w:rPr>
        <w:t>c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bookmarkStart w:id="2" w:name="OLE_LINK8"/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Daomi Zhu</w:t>
      </w:r>
      <w:bookmarkEnd w:id="2"/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kern w:val="0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b, 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superscript"/>
          <w:lang w:val="en-US" w:eastAsia="zh-CN" w:bidi="ar"/>
        </w:rPr>
        <w:t>c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bookmarkStart w:id="3" w:name="OLE_LINK5"/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Huifeng Dong</w:t>
      </w:r>
      <w:bookmarkEnd w:id="3"/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Yu Jia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a, c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bookmarkStart w:id="4" w:name="OLE_LINK6"/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Lingcong Kong</w:t>
      </w:r>
      <w:bookmarkEnd w:id="4"/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kern w:val="0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b, 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superscript"/>
          <w:lang w:val="en-US" w:eastAsia="zh-CN" w:bidi="ar"/>
        </w:rPr>
        <w:t xml:space="preserve">c 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baseline"/>
          <w:lang w:val="en-US" w:eastAsia="zh-CN" w:bidi="ar"/>
        </w:rPr>
        <w:t xml:space="preserve">and 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Hongxia Ma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cs="Times New Roman"/>
          <w:b/>
          <w:bCs/>
          <w:caps w:val="0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kern w:val="0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b, </w:t>
      </w:r>
      <w:r>
        <w:rPr>
          <w:rFonts w:hint="eastAsia" w:ascii="Times New Roman" w:hAnsi="Times New Roman" w:eastAsia="宋体" w:cs="Times New Roman"/>
          <w:b/>
          <w:bCs/>
          <w:caps w:val="0"/>
          <w:kern w:val="0"/>
          <w:sz w:val="24"/>
          <w:szCs w:val="24"/>
          <w:vertAlign w:val="superscript"/>
          <w:lang w:val="en-US" w:eastAsia="zh-CN" w:bidi="ar"/>
        </w:rPr>
        <w:t>c</w:t>
      </w:r>
    </w:p>
    <w:p w14:paraId="3732E0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caps w:val="0"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eastAsia" w:ascii="Times New Roman" w:hAnsi="Times New Roman" w:eastAsia="宋体" w:cs="Times New Roman"/>
          <w:caps w:val="0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aps w:val="0"/>
          <w:kern w:val="0"/>
          <w:sz w:val="24"/>
          <w:szCs w:val="24"/>
          <w:lang w:bidi="ar"/>
        </w:rPr>
        <w:t xml:space="preserve">College of Life </w:t>
      </w:r>
      <w:r>
        <w:rPr>
          <w:rFonts w:hint="default" w:ascii="Times New Roman" w:hAnsi="Times New Roman" w:eastAsia="宋体" w:cs="Times New Roman"/>
          <w:caps w:val="0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Sciences</w:t>
      </w:r>
      <w:r>
        <w:rPr>
          <w:rFonts w:hint="default" w:ascii="Times New Roman" w:hAnsi="Times New Roman" w:eastAsia="宋体" w:cs="Times New Roman"/>
          <w:caps w:val="0"/>
          <w:kern w:val="0"/>
          <w:sz w:val="24"/>
          <w:szCs w:val="24"/>
          <w:lang w:bidi="ar"/>
        </w:rPr>
        <w:t xml:space="preserve">, Jilin Agricultural University, Xincheng Street </w:t>
      </w:r>
      <w:r>
        <w:rPr>
          <w:rFonts w:hint="default" w:ascii="Times New Roman" w:hAnsi="Times New Roman" w:eastAsia="宋体" w:cs="Times New Roman"/>
          <w:caps w:val="0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No. 2888</w:t>
      </w:r>
      <w:r>
        <w:rPr>
          <w:rFonts w:hint="default" w:ascii="Times New Roman" w:hAnsi="Times New Roman" w:eastAsia="宋体" w:cs="Times New Roman"/>
          <w:caps w:val="0"/>
          <w:kern w:val="0"/>
          <w:sz w:val="24"/>
          <w:szCs w:val="24"/>
          <w:lang w:bidi="ar"/>
        </w:rPr>
        <w:t xml:space="preserve">, Changchun 130118, P.R. </w:t>
      </w:r>
      <w:r>
        <w:rPr>
          <w:rFonts w:hint="default" w:ascii="Times New Roman" w:hAnsi="Times New Roman" w:eastAsia="宋体" w:cs="Times New Roman"/>
          <w:caps w:val="0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China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44473B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bookmarkStart w:id="5" w:name="OLE_LINK26"/>
      <w:r>
        <w:rPr>
          <w:rFonts w:hint="default" w:ascii="Times New Roman" w:hAnsi="Times New Roman" w:eastAsia="宋体" w:cs="Times New Roman"/>
          <w:caps w:val="0"/>
          <w:kern w:val="0"/>
          <w:sz w:val="24"/>
          <w:szCs w:val="24"/>
          <w:lang w:bidi="ar"/>
        </w:rPr>
        <w:t xml:space="preserve">College of Animal Science and Technology, Jilin Agricultural University, Xincheng Street </w:t>
      </w:r>
      <w:r>
        <w:rPr>
          <w:rFonts w:hint="default" w:ascii="Times New Roman" w:hAnsi="Times New Roman" w:eastAsia="宋体" w:cs="Times New Roman"/>
          <w:caps w:val="0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No. 2888, Changchun 130118, P.R. China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bookmarkEnd w:id="5"/>
    <w:p w14:paraId="2B39ED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kern w:val="0"/>
          <w:sz w:val="24"/>
          <w:szCs w:val="24"/>
          <w:vertAlign w:val="superscript"/>
          <w:lang w:val="en-US" w:eastAsia="zh-CN" w:bidi="ar"/>
        </w:rPr>
        <w:t>c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The Key Laboratory of New Veterinary Drug Research and Development of Jilin Province, Jilin Agricultural</w:t>
      </w:r>
      <w:r>
        <w:rPr>
          <w:rFonts w:hint="default" w:ascii="Times New Roman" w:hAnsi="Times New Roman" w:cs="Times New Roman"/>
          <w:bCs/>
          <w:caps w:val="0"/>
          <w:color w:val="FF0000"/>
          <w:kern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University</w:t>
      </w:r>
      <w:r>
        <w:rPr>
          <w:rFonts w:hint="default" w:ascii="Times New Roman" w:hAnsi="Times New Roman" w:cs="Times New Roman"/>
          <w:bCs/>
          <w:caps w:val="0"/>
          <w:color w:val="FF0000"/>
          <w:kern w:val="0"/>
          <w:sz w:val="24"/>
          <w:szCs w:val="24"/>
        </w:rPr>
        <w:t>,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Xincheng Street No. 2888, Changchun 130118, China.</w:t>
      </w:r>
    </w:p>
    <w:p w14:paraId="54D4C4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1F1F1F"/>
          <w:spacing w:val="0"/>
          <w:sz w:val="24"/>
          <w:szCs w:val="24"/>
          <w:vertAlign w:val="superscript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F1F1F"/>
          <w:spacing w:val="0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Tianjin Key Laboratory of Biological Feed Additive Enterprise, S&amp;E Burgeoning Biotechnology (Tianjin) Co., Ltd, No.27, Shengda Second Branch Road, Wangwenzhuang Industrial Park, Xiqing District, Tianjin, 300383, P.R. China;</w:t>
      </w:r>
    </w:p>
    <w:p w14:paraId="2864D5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596E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  <w:t xml:space="preserve">Corresponding author: </w:t>
      </w:r>
    </w:p>
    <w:p w14:paraId="0B1CD8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Lingcong Kong</w:t>
      </w:r>
    </w:p>
    <w:p w14:paraId="6311A0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  <w:t xml:space="preserve">E-mail 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address</w:t>
      </w:r>
      <w:r>
        <w:rPr>
          <w:rFonts w:hint="eastAsia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:lingcong@jlau.edu.cn</w:t>
      </w:r>
    </w:p>
    <w:p w14:paraId="295229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  <w:t>Hongxia Ma</w:t>
      </w:r>
      <w:r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  <w:tab/>
      </w:r>
    </w:p>
    <w:p w14:paraId="5B168BA2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bookmarkStart w:id="6" w:name="OLE_LINK7"/>
      <w:r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  <w:t xml:space="preserve">E-mail 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address</w:t>
      </w:r>
      <w:bookmarkEnd w:id="6"/>
      <w:r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  <w:t xml:space="preserve">: </w:t>
      </w:r>
      <w:bookmarkStart w:id="7" w:name="OLE_LINK66"/>
      <w:r>
        <w:rPr>
          <w:rFonts w:hint="default" w:ascii="Times New Roman" w:hAnsi="Times New Roman" w:cs="Times New Roman"/>
          <w:bCs/>
          <w:caps w:val="0"/>
          <w:kern w:val="0"/>
          <w:sz w:val="24"/>
          <w:szCs w:val="24"/>
        </w:rPr>
        <w:t>hongxia0731001@163.</w:t>
      </w:r>
      <w:r>
        <w:rPr>
          <w:rFonts w:hint="default" w:ascii="Times New Roman" w:hAnsi="Times New Roman" w:cs="Times New Roman"/>
          <w:bCs/>
          <w:cap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com</w:t>
      </w:r>
      <w:bookmarkEnd w:id="7"/>
    </w:p>
    <w:p w14:paraId="583378D1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5273675" cy="4035425"/>
            <wp:effectExtent l="0" t="0" r="9525" b="3175"/>
            <wp:docPr id="22" name="图片 2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E9A7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Figure S1. </w:t>
      </w:r>
      <w:bookmarkStart w:id="8" w:name="OLE_LINK29"/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Notoginsenoside Ft1 does not affect the growth kinetics of bacteria.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Growth kinetics of </w:t>
      </w:r>
      <w:r>
        <w:rPr>
          <w:rFonts w:hint="eastAsia" w:ascii="Times New Roman" w:hAnsi="Times New Roman" w:eastAsia="宋体" w:cs="Times New Roman"/>
          <w:i/>
          <w:iCs/>
          <w:caps w:val="0"/>
          <w:spacing w:val="0"/>
          <w:sz w:val="24"/>
          <w:szCs w:val="24"/>
          <w:shd w:val="clear" w:fill="FFFFFF"/>
          <w:lang w:val="en-US" w:eastAsia="zh-CN"/>
        </w:rPr>
        <w:t>E. coli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A25 in LB broth in the absence of Notoginsenoside Ft1 and in the presence of Notoginsenoside Ft1 at concentrations of 200 μM or 400 μM</w:t>
      </w:r>
      <w:bookmarkEnd w:id="8"/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. OD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vertAlign w:val="subscript"/>
          <w:lang w:val="en-US" w:eastAsia="zh-CN"/>
        </w:rPr>
        <w:t>600 nm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values represent the means ± SD from three independent readings.</w:t>
      </w:r>
    </w:p>
    <w:p w14:paraId="4E76D890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 w14:paraId="0DEACEE7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 w14:paraId="4C20AB4D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5274310" cy="5074920"/>
            <wp:effectExtent l="0" t="0" r="8890" b="5080"/>
            <wp:docPr id="23" name="图片 2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00D30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Figure S2. Omics analysis in the presence of Notoginsenoside Ft1.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A-C) Differentially expressed genes, Gene Ontology (GO) analysis, and Kyoto Encyclopedia of Genes and Genomes (KEGG) analysis for the Notoginsenoside Ft1 treatment group compared to the control group. D-F) Differentially expressed genes, GO analysis, and KEGG analysis for the combination treatment group of Notoginsenoside Ft1 and Gentamicin compared to the Gentamicin-only treatment group. G-I) Differentially expressed genes, GO analysis, and KEGG analysis for the combination treatment group of Notoginsenoside Ft1 and Gentamicin compared to the Notoginsenoside Ft1-only treatment group.</w:t>
      </w:r>
    </w:p>
    <w:p w14:paraId="654E489F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1958A2EE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3733165"/>
            <wp:effectExtent l="0" t="0" r="635" b="635"/>
            <wp:docPr id="24" name="图片 2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98F3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Figure S3. Notoginsenoside Ft1 inhibits the swarm motility of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E.coli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A) Observation of the swarm motility of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E. coli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A25 on a bacterial culture plate with a diameter of 90 mm. B) Observation of the swarm motility of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E. coli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A25 on a bacterial culture plate with a diameter of 35 mm.</w:t>
      </w:r>
    </w:p>
    <w:p w14:paraId="63CAA472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571207B4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74C2526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2451735"/>
            <wp:effectExtent l="0" t="0" r="4445" b="12065"/>
            <wp:docPr id="25" name="图片 25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417F2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Figure S4. </w:t>
      </w:r>
      <w:bookmarkStart w:id="9" w:name="OLE_LINK1"/>
      <w:r>
        <w:rPr>
          <w:rFonts w:hint="default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Determination of inoculum dosage in the Galleria mellonella model and the mouse model.</w:t>
      </w:r>
      <w:bookmarkEnd w:id="9"/>
      <w:r>
        <w:rPr>
          <w:rFonts w:hint="eastAsia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A) Exploration of the inoculum size in the Galleria mellonella infection model. B) Exploration of the inoculum size in the mouse infection model.</w:t>
      </w:r>
    </w:p>
    <w:p w14:paraId="6DA48043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51858F44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0AAD858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3686810"/>
            <wp:effectExtent l="0" t="0" r="6350" b="1270"/>
            <wp:docPr id="2" name="图片 2" descr="Graphical Abst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raphical Abstrac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ABFC2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color w:val="000000" w:themeColor="text1"/>
          <w:kern w:val="2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5. The in-vitro efficacy of the Notoginsenoside Ft1–Gentamicin combination is effectively translatable to the in-vivo setting.</w:t>
      </w:r>
      <w:bookmarkStart w:id="10" w:name="_GoBack"/>
      <w:bookmarkEnd w:id="10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6720B0A3">
      <w:pPr>
        <w:keepNext w:val="0"/>
        <w:keepLines w:val="0"/>
        <w:pageBreakBefore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Table S1.Design of primers for RT-PCR analysis.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393"/>
        <w:gridCol w:w="3637"/>
        <w:gridCol w:w="393"/>
        <w:gridCol w:w="1136"/>
        <w:gridCol w:w="393"/>
      </w:tblGrid>
      <w:tr w14:paraId="28E3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770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Genes</w:t>
            </w:r>
          </w:p>
        </w:tc>
        <w:tc>
          <w:tcPr>
            <w:tcW w:w="39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E88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C42A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Sequence(5'-3')</w:t>
            </w:r>
          </w:p>
        </w:tc>
        <w:tc>
          <w:tcPr>
            <w:tcW w:w="39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212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6238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Fragment Size/bp</w:t>
            </w:r>
          </w:p>
        </w:tc>
        <w:tc>
          <w:tcPr>
            <w:tcW w:w="39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6E19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90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343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-YGDL-F</w:t>
            </w:r>
          </w:p>
        </w:tc>
        <w:tc>
          <w:tcPr>
            <w:tcW w:w="39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8CCB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71B9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</w:rPr>
              <w:t>CTCAAGTTAGCGGGATTA</w:t>
            </w:r>
          </w:p>
        </w:tc>
        <w:tc>
          <w:tcPr>
            <w:tcW w:w="39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BA4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37CA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122bp</w:t>
            </w:r>
          </w:p>
        </w:tc>
        <w:tc>
          <w:tcPr>
            <w:tcW w:w="39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A3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0C7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58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-YGDL-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F4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AD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</w:rPr>
              <w:t>ACCTTTCGCACTGTCGTA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4E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55F2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9D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6EE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8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crB-YGDL-F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68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E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</w:rPr>
              <w:t>GAAGCGATCATCCTCGTGTTC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A0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3840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106bp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A9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BD4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DB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crB-YGDL-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9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CD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</w:rPr>
              <w:t>CAAAGGTCCCGAGCAATACC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2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750A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9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6D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7A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tolC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-YGDL-F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A1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2E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highlight w:val="cyan"/>
                <w:shd w:val="clear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</w:rPr>
              <w:t>AAGCCGAAAAACGCAACCT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FB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527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101bp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2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AB8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1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tolC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-YGDL-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F4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7A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highlight w:val="cyan"/>
                <w:shd w:val="clear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</w:rPr>
              <w:t>CAGAGTCGGTAAGTGACCATC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8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57D0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48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6D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F3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-YGDL-F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82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63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CCTACGGGAGGCAGCAG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69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E18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194bp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F7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5A0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51D5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-YGDL-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</w:t>
            </w:r>
          </w:p>
        </w:tc>
        <w:tc>
          <w:tcPr>
            <w:tcW w:w="3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9565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5CF0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ATTACCGCGGCTGCTGG</w:t>
            </w:r>
          </w:p>
        </w:tc>
        <w:tc>
          <w:tcPr>
            <w:tcW w:w="3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659B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769AD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3CF6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highlight w:val="cyan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654B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ZTA0NzY3ZTEwNzNjNGRiNTQ4YjFiZGIzZWM2NWIifQ=="/>
  </w:docVars>
  <w:rsids>
    <w:rsidRoot w:val="00000000"/>
    <w:rsid w:val="1891338A"/>
    <w:rsid w:val="238E5DDC"/>
    <w:rsid w:val="28CC70B4"/>
    <w:rsid w:val="29BD333A"/>
    <w:rsid w:val="6CDF6233"/>
    <w:rsid w:val="7B0F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407</Words>
  <Characters>2513</Characters>
  <Lines>0</Lines>
  <Paragraphs>0</Paragraphs>
  <TotalTime>8</TotalTime>
  <ScaleCrop>false</ScaleCrop>
  <LinksUpToDate>false</LinksUpToDate>
  <CharactersWithSpaces>2881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2025-01-09T06:51:00Z</dcterms:created>
  <dc:creator>l</dc:creator>
  <cp:lastModifiedBy>故里</cp:lastModifiedBy>
  <dcterms:modified xsi:type="dcterms:W3CDTF">2025-09-20T04:19:47Z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00F8E3E510004BFB8BA706311644AD1C_12</vt:lpwstr>
  </property>
  <property fmtid="{D5CDD505-2E9C-101B-9397-08002B2CF9AE}" pid="4" name="KSOTemplateDocerSaveRecord">
    <vt:lpwstr>eyJoZGlkIjoiYjNjZTA0NzY3ZTEwNzNjNGRiNTQ4YjFiZGIzZWM2NWIiLCJ1c2VySWQiOiI3MzQwODM2NzcifQ==</vt:lpwstr>
  </property>
</Properties>
</file>