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B02E" w14:textId="6A76248C" w:rsidR="009F472E" w:rsidRDefault="009F472E" w:rsidP="007431CB">
      <w:pPr>
        <w:tabs>
          <w:tab w:val="left" w:pos="1010"/>
        </w:tabs>
        <w:spacing w:line="48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9F472E">
        <w:rPr>
          <w:rFonts w:ascii="Times New Roman" w:hAnsi="Times New Roman"/>
          <w:b/>
          <w:sz w:val="28"/>
          <w:lang w:val="en-US"/>
        </w:rPr>
        <w:t xml:space="preserve">Supplementary </w:t>
      </w:r>
      <w:r w:rsidR="007431CB">
        <w:rPr>
          <w:rFonts w:ascii="Times New Roman" w:hAnsi="Times New Roman"/>
          <w:b/>
          <w:sz w:val="28"/>
          <w:lang w:val="en-US"/>
        </w:rPr>
        <w:t>figures</w:t>
      </w:r>
    </w:p>
    <w:p w14:paraId="250DA2F0" w14:textId="77777777" w:rsidR="009F472E" w:rsidRPr="00856A44" w:rsidRDefault="009F472E" w:rsidP="009F472E">
      <w:pPr>
        <w:tabs>
          <w:tab w:val="left" w:pos="1010"/>
        </w:tabs>
        <w:spacing w:line="480" w:lineRule="auto"/>
        <w:jc w:val="both"/>
        <w:rPr>
          <w:rFonts w:ascii="Times New Roman" w:hAnsi="Times New Roman"/>
          <w:lang w:val="en-US"/>
        </w:rPr>
      </w:pPr>
    </w:p>
    <w:p w14:paraId="17309CF1" w14:textId="77777777" w:rsidR="009F472E" w:rsidRDefault="009F472E" w:rsidP="009F472E">
      <w:pPr>
        <w:spacing w:line="48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771409F3" wp14:editId="56CEB82C">
            <wp:extent cx="5760720" cy="4594282"/>
            <wp:effectExtent l="0" t="0" r="0" b="0"/>
            <wp:docPr id="13" name="Image 13" descr="D:\Desktop\ISME\microbisme_figure\Sans titre -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ISME\microbisme_figure\Sans titre - 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19587" w14:textId="259A959D" w:rsidR="009F472E" w:rsidRPr="00856A44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val="en-GB" w:eastAsia="fr-FR"/>
        </w:rPr>
      </w:pPr>
      <w:r w:rsidRPr="00856A44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Fig</w:t>
      </w:r>
      <w:r w:rsidR="00250AA5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.</w:t>
      </w:r>
      <w:r w:rsidRPr="00856A44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 S1: </w:t>
      </w:r>
      <w:r w:rsidRPr="00474CDB"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>Location</w:t>
      </w:r>
      <w:r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 xml:space="preserve"> of Lake Bourget in the East of France (blue triangle) (a). </w:t>
      </w:r>
      <w:r w:rsidRPr="00474CDB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Map of Lake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 Bourget showing the sampling site location in littoral area at the South of the lake (red dot) (b) and (c) a focus on the studied area showing the buffer (red circle) considered for inferring wave energy.</w:t>
      </w:r>
      <w:r w:rsidRPr="00856A44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(d) Wind rose highlighting wind directions over the studied period.</w:t>
      </w:r>
    </w:p>
    <w:p w14:paraId="3AD23CED" w14:textId="77777777" w:rsidR="009F472E" w:rsidRDefault="009F472E" w:rsidP="009F472E">
      <w:pPr>
        <w:spacing w:after="0"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14:paraId="2E78249E" w14:textId="77777777" w:rsidR="009F472E" w:rsidRDefault="009F472E" w:rsidP="009F472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5221970A" w14:textId="77777777" w:rsidR="009F472E" w:rsidRDefault="009F472E" w:rsidP="009F472E">
      <w:pPr>
        <w:spacing w:line="480" w:lineRule="auto"/>
        <w:jc w:val="both"/>
        <w:rPr>
          <w:rFonts w:ascii="Times New Roman" w:hAnsi="Times New Roman"/>
          <w:lang w:val="en-GB"/>
        </w:rPr>
      </w:pPr>
    </w:p>
    <w:p w14:paraId="6DAC4C12" w14:textId="77777777" w:rsidR="009F472E" w:rsidRDefault="009F472E" w:rsidP="009F472E">
      <w:pPr>
        <w:spacing w:after="0" w:line="480" w:lineRule="auto"/>
        <w:jc w:val="center"/>
        <w:rPr>
          <w:rFonts w:ascii="Times New Roman" w:hAnsi="Times New Roman"/>
          <w:lang w:val="en-GB"/>
        </w:rPr>
      </w:pPr>
      <w:r>
        <w:rPr>
          <w:noProof/>
        </w:rPr>
        <w:drawing>
          <wp:inline distT="0" distB="0" distL="0" distR="0" wp14:anchorId="537C446D" wp14:editId="6159FEA2">
            <wp:extent cx="5760720" cy="576072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F4EE5" w14:textId="620EA49E" w:rsidR="009F472E" w:rsidRPr="00B7746A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fr-FR"/>
        </w:rPr>
      </w:pPr>
      <w:r w:rsidRPr="00B7746A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Fig</w:t>
      </w:r>
      <w:r w:rsidR="00250AA5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. </w:t>
      </w:r>
      <w:r w:rsidRPr="00B7746A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S2: </w:t>
      </w:r>
      <w:r w:rsidRPr="00737A80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Environmental variables </w:t>
      </w:r>
      <w:r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over</w:t>
      </w:r>
      <w:r w:rsidRPr="00737A80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 time. </w:t>
      </w:r>
      <w:r w:rsidRPr="00B7746A"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>Temporal dynamics of (a</w:t>
      </w:r>
      <w:r w:rsidRPr="00DF395E"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 xml:space="preserve">) </w:t>
      </w:r>
      <w:r w:rsidRPr="00B7746A"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>water</w:t>
      </w:r>
      <w:r w:rsidRPr="00B7746A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 </w:t>
      </w:r>
      <w:r w:rsidRPr="00B7746A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oxygen</w:t>
      </w:r>
      <w:r w:rsidRPr="00DF395E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, (</w:t>
      </w:r>
      <w:r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>b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) organic matter content, (c) sediment organic carbon and</w:t>
      </w:r>
      <w:r w:rsidRPr="00DF395E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(d) nitrogen</w:t>
      </w:r>
      <w:r w:rsidRPr="00737A80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. Gray dots on graphs represent sampling 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dates over the studied period</w:t>
      </w:r>
      <w:r w:rsidRPr="00737A80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. </w:t>
      </w:r>
    </w:p>
    <w:p w14:paraId="48B26083" w14:textId="77777777" w:rsidR="009F472E" w:rsidRDefault="009F472E" w:rsidP="009F472E">
      <w:pPr>
        <w:spacing w:after="0" w:line="480" w:lineRule="auto"/>
        <w:jc w:val="both"/>
        <w:rPr>
          <w:rFonts w:ascii="Times New Roman" w:hAnsi="Times New Roman"/>
          <w:lang w:val="en-US"/>
        </w:rPr>
      </w:pPr>
    </w:p>
    <w:p w14:paraId="4CF9097B" w14:textId="77777777" w:rsidR="008A1017" w:rsidRDefault="008A1017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51DF03CC" w14:textId="77777777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18AA791D" w14:textId="77777777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78685F6E" w14:textId="2EE6867B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5CC1ECB5" w14:textId="16A2B54C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7B11DA68" w14:textId="76F4B1A7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245046D6" w14:textId="36BA3A43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2159F0DC" w14:textId="1279FD91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6D016EC0" w14:textId="77777777" w:rsidR="00BD1B7F" w:rsidRDefault="00BD1B7F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</w:p>
    <w:p w14:paraId="4E973C62" w14:textId="52B44F2E" w:rsidR="00BD1B7F" w:rsidRPr="00BD1B7F" w:rsidRDefault="00FC6A3E" w:rsidP="00BD1B7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eastAsia="fr-FR"/>
        </w:rPr>
      </w:pPr>
      <w:r w:rsidRPr="00FC6A3E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eastAsia="fr-FR"/>
        </w:rPr>
        <w:drawing>
          <wp:inline distT="0" distB="0" distL="0" distR="0" wp14:anchorId="42E57956" wp14:editId="4CE39E46">
            <wp:extent cx="5760720" cy="190182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F3E9" w14:textId="77777777" w:rsidR="009D576F" w:rsidRPr="009D576F" w:rsidRDefault="009D576F" w:rsidP="009D576F">
      <w:pPr>
        <w:spacing w:after="0" w:line="480" w:lineRule="auto"/>
        <w:jc w:val="both"/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</w:pPr>
      <w:r w:rsidRPr="009D576F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Fig. S3. Temporal variability in weighted </w:t>
      </w:r>
      <w:proofErr w:type="spellStart"/>
      <w:r w:rsidRPr="009D576F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UniFrac</w:t>
      </w:r>
      <w:proofErr w:type="spellEnd"/>
      <w:r w:rsidRPr="009D576F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 distances.</w:t>
      </w:r>
    </w:p>
    <w:p w14:paraId="7E2D59B4" w14:textId="72144B4B" w:rsidR="009F472E" w:rsidRPr="009D576F" w:rsidRDefault="009D576F" w:rsidP="009D576F">
      <w:pPr>
        <w:spacing w:after="0" w:line="480" w:lineRule="auto"/>
        <w:jc w:val="both"/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</w:pPr>
      <w:r w:rsidRPr="009D576F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(a) Comparison between intra-replicate distances (within sampling dates) and inter-timepoint distances (between successive sampling dates) across the time series. Inter-timepoint distances were significantly higher than intra-replicate distances (Wilcoxon rank-sum test: W = 1293, p = 0.003), indicating that temporal turnover in microbial community composition exceeded replicate-level variability.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 </w:t>
      </w:r>
      <w:r w:rsidRPr="009D576F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(b) Relationship between inter-timepoint weighted </w:t>
      </w:r>
      <w:proofErr w:type="spellStart"/>
      <w:r w:rsidRPr="009D576F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UniFrac</w:t>
      </w:r>
      <w:proofErr w:type="spellEnd"/>
      <w:r w:rsidRPr="009D576F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 distances and temporal lag (days between sampling dates). A significant positive correlation was observed (linear regression: R² = 0.18, p &lt; 0.001), showing that community dissimilarity increased with time elapsed between sampling events.</w:t>
      </w:r>
      <w:r w:rsidR="009F472E">
        <w:rPr>
          <w:rFonts w:ascii="Times New Roman" w:hAnsi="Times New Roman"/>
          <w:lang w:val="en-US"/>
        </w:rPr>
        <w:br w:type="page"/>
      </w:r>
    </w:p>
    <w:p w14:paraId="2CD73F9C" w14:textId="77777777" w:rsidR="009F472E" w:rsidRDefault="009F472E" w:rsidP="009F472E">
      <w:pPr>
        <w:spacing w:after="0" w:line="480" w:lineRule="auto"/>
        <w:jc w:val="both"/>
        <w:rPr>
          <w:rFonts w:ascii="Times New Roman" w:hAnsi="Times New Roman"/>
          <w:lang w:val="en-US"/>
        </w:rPr>
      </w:pPr>
    </w:p>
    <w:p w14:paraId="58B008D4" w14:textId="77777777" w:rsidR="009F472E" w:rsidRDefault="009F472E" w:rsidP="009F472E">
      <w:pPr>
        <w:spacing w:after="0" w:line="480" w:lineRule="auto"/>
        <w:jc w:val="both"/>
        <w:rPr>
          <w:rFonts w:ascii="Times New Roman" w:hAnsi="Times New Roman"/>
          <w:lang w:val="en-US"/>
        </w:rPr>
      </w:pPr>
      <w:r>
        <w:rPr>
          <w:noProof/>
        </w:rPr>
        <w:drawing>
          <wp:inline distT="0" distB="0" distL="0" distR="0" wp14:anchorId="548A826A" wp14:editId="60B9F61F">
            <wp:extent cx="5760720" cy="3808095"/>
            <wp:effectExtent l="0" t="0" r="0" b="190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F9FF4" w14:textId="14B78813" w:rsidR="009F472E" w:rsidRDefault="009F472E" w:rsidP="009F472E">
      <w:pPr>
        <w:spacing w:after="0" w:line="480" w:lineRule="auto"/>
        <w:jc w:val="both"/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</w:pPr>
      <w:r w:rsidRPr="0011023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Fig</w:t>
      </w:r>
      <w:r w:rsidR="00250AA5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.</w:t>
      </w:r>
      <w:r w:rsidRPr="0011023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 S</w:t>
      </w:r>
      <w:r w:rsidR="008A101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4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: </w:t>
      </w:r>
      <w:r w:rsidRPr="0011023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Sediment microbial co-occurrence network. 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Nodes (circles) represent OTU colored according to phyla group. Minor phyla represent groups with a relative abundance &lt;1% and Proteobacteria phylum is represented by the most dominant class. Size of each node is proportional to their relative 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degree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. Edges represent positives (gray 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curves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) and negatives (orange 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curves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) correlations between OTU. Only significant and strong correlations are shown (Pearson R ≥ 0.6, P&lt;0.</w:t>
      </w: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01)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.</w:t>
      </w:r>
    </w:p>
    <w:p w14:paraId="2DB845E8" w14:textId="77777777" w:rsidR="009F472E" w:rsidRDefault="009F472E" w:rsidP="009F472E">
      <w:pPr>
        <w:spacing w:after="0" w:line="480" w:lineRule="auto"/>
        <w:jc w:val="both"/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</w:pPr>
    </w:p>
    <w:p w14:paraId="115EAF46" w14:textId="77777777" w:rsidR="009F472E" w:rsidRDefault="009F472E" w:rsidP="009F472E">
      <w:pPr>
        <w:spacing w:after="0" w:line="480" w:lineRule="auto"/>
        <w:jc w:val="both"/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</w:pPr>
      <w:r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br w:type="page"/>
      </w:r>
    </w:p>
    <w:p w14:paraId="7876C9AC" w14:textId="77777777" w:rsidR="009F472E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szCs w:val="24"/>
          <w:lang w:val="en-GB" w:eastAsia="fr-FR"/>
        </w:rPr>
      </w:pPr>
    </w:p>
    <w:p w14:paraId="0023C300" w14:textId="77777777" w:rsidR="009F472E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szCs w:val="24"/>
          <w:lang w:val="en-GB" w:eastAsia="fr-FR"/>
        </w:rPr>
      </w:pPr>
    </w:p>
    <w:p w14:paraId="76FC7FAF" w14:textId="77777777" w:rsidR="009F472E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szCs w:val="24"/>
          <w:lang w:val="en-GB" w:eastAsia="fr-FR"/>
        </w:rPr>
      </w:pPr>
    </w:p>
    <w:p w14:paraId="4FBB4E9E" w14:textId="77777777" w:rsidR="009F472E" w:rsidRPr="00110237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szCs w:val="24"/>
          <w:lang w:val="en-GB" w:eastAsia="fr-FR"/>
        </w:rPr>
      </w:pPr>
      <w:r>
        <w:rPr>
          <w:rFonts w:ascii="Times New Roman" w:eastAsia="Times New Roman" w:hAnsi="Times New Roman"/>
          <w:noProof/>
          <w:szCs w:val="24"/>
          <w:lang w:eastAsia="fr-FR"/>
        </w:rPr>
        <w:drawing>
          <wp:inline distT="0" distB="0" distL="0" distR="0" wp14:anchorId="5923E664" wp14:editId="514A7014">
            <wp:extent cx="6099586" cy="5085519"/>
            <wp:effectExtent l="0" t="0" r="0" b="1270"/>
            <wp:docPr id="20" name="Image 20" descr="D:\Desktop\ISME\microbisme_figure\figure_S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ISME\microbisme_figure\figure_S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335" cy="508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3D6CB" w14:textId="2577B2F0" w:rsidR="009F472E" w:rsidRPr="00206A0F" w:rsidRDefault="009F472E" w:rsidP="009F472E">
      <w:pPr>
        <w:spacing w:after="0" w:line="480" w:lineRule="auto"/>
        <w:jc w:val="both"/>
        <w:rPr>
          <w:rFonts w:ascii="Times New Roman" w:eastAsia="Times New Roman" w:hAnsi="Times New Roman"/>
          <w:szCs w:val="24"/>
          <w:lang w:val="en-GB" w:eastAsia="fr-FR"/>
        </w:rPr>
      </w:pPr>
      <w:r w:rsidRPr="0011023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Fig</w:t>
      </w:r>
      <w:r w:rsidR="00250AA5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.</w:t>
      </w:r>
      <w:r w:rsidRPr="0011023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 xml:space="preserve"> S</w:t>
      </w:r>
      <w:r w:rsidR="008A101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5</w:t>
      </w:r>
      <w:r w:rsidRPr="00110237">
        <w:rPr>
          <w:rFonts w:ascii="Times New Roman" w:eastAsiaTheme="minorEastAsia" w:hAnsi="Times New Roman"/>
          <w:b/>
          <w:bCs/>
          <w:color w:val="000000" w:themeColor="text1"/>
          <w:kern w:val="24"/>
          <w:szCs w:val="24"/>
          <w:lang w:val="en-US" w:eastAsia="fr-FR"/>
        </w:rPr>
        <w:t>: Modules size according to taxonomic composition.</w:t>
      </w:r>
      <w:r w:rsidRPr="00110237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 xml:space="preserve"> Minor phyla represent groups with a relative abundance &lt;1% and Proteobacteria phylum is represented by the most dominant </w:t>
      </w:r>
      <w:r w:rsidRPr="00206A0F">
        <w:rPr>
          <w:rFonts w:ascii="Times New Roman" w:eastAsiaTheme="minorEastAsia" w:hAnsi="Times New Roman"/>
          <w:color w:val="000000" w:themeColor="text1"/>
          <w:kern w:val="24"/>
          <w:szCs w:val="24"/>
          <w:lang w:val="en-US" w:eastAsia="fr-FR"/>
        </w:rPr>
        <w:t>classes</w:t>
      </w:r>
      <w:r w:rsidRPr="00206A0F">
        <w:rPr>
          <w:rFonts w:ascii="Times New Roman" w:eastAsiaTheme="minorEastAsia" w:hAnsi="Times New Roman"/>
          <w:bCs/>
          <w:color w:val="000000" w:themeColor="text1"/>
          <w:kern w:val="24"/>
          <w:szCs w:val="24"/>
          <w:lang w:val="en-US" w:eastAsia="fr-FR"/>
        </w:rPr>
        <w:t xml:space="preserve"> for the different modules (M1 to M6)</w:t>
      </w:r>
    </w:p>
    <w:p w14:paraId="24BA44BD" w14:textId="77777777" w:rsidR="009E7942" w:rsidRPr="009F472E" w:rsidRDefault="009E7942">
      <w:pPr>
        <w:rPr>
          <w:lang w:val="en-GB"/>
        </w:rPr>
      </w:pPr>
    </w:p>
    <w:sectPr w:rsidR="009E7942" w:rsidRPr="009F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2E"/>
    <w:rsid w:val="00250AA5"/>
    <w:rsid w:val="00490712"/>
    <w:rsid w:val="006755FA"/>
    <w:rsid w:val="007431CB"/>
    <w:rsid w:val="008A1017"/>
    <w:rsid w:val="009D576F"/>
    <w:rsid w:val="009E7942"/>
    <w:rsid w:val="009F472E"/>
    <w:rsid w:val="00BD1B7F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6441"/>
  <w15:chartTrackingRefBased/>
  <w15:docId w15:val="{88E0B856-1282-4030-BFCE-CF58221F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324</Words>
  <Characters>1782</Characters>
  <Application>Microsoft Office Word</Application>
  <DocSecurity>0</DocSecurity>
  <Lines>14</Lines>
  <Paragraphs>4</Paragraphs>
  <ScaleCrop>false</ScaleCrop>
  <Company>Universite Savoie Mont Blanc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Tardy</dc:creator>
  <cp:keywords/>
  <dc:description/>
  <cp:lastModifiedBy>Vincent Tardy</cp:lastModifiedBy>
  <cp:revision>2</cp:revision>
  <dcterms:created xsi:type="dcterms:W3CDTF">2025-09-16T14:59:00Z</dcterms:created>
  <dcterms:modified xsi:type="dcterms:W3CDTF">2025-09-16T14:59:00Z</dcterms:modified>
</cp:coreProperties>
</file>