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ECBF" w14:textId="77777777" w:rsidR="005178E7" w:rsidRPr="007F6697" w:rsidRDefault="005178E7" w:rsidP="005178E7">
      <w:pPr>
        <w:pStyle w:val="Titl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Hlk204173874"/>
      <w:r w:rsidRPr="007F66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Mechanistic Insights into Rottlerin’s Inhibition of </w:t>
      </w:r>
      <w:proofErr w:type="spellStart"/>
      <w:r w:rsidRPr="007F66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MrkH</w:t>
      </w:r>
      <w:proofErr w:type="spellEnd"/>
      <w:r w:rsidRPr="007F66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-Mediated Biofilm and Capsule Formation in </w:t>
      </w:r>
      <w:r w:rsidRPr="007F669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Klebsiella pneumoniae</w:t>
      </w:r>
      <w:bookmarkEnd w:id="0"/>
    </w:p>
    <w:p w14:paraId="608634A0" w14:textId="77777777" w:rsidR="005178E7" w:rsidRPr="007F50E7" w:rsidRDefault="005178E7" w:rsidP="005178E7">
      <w:pPr>
        <w:rPr>
          <w:rFonts w:ascii="Times New Roman" w:eastAsia="Aptos" w:hAnsi="Times New Roman" w:cs="Times New Roman"/>
          <w:sz w:val="22"/>
          <w:szCs w:val="22"/>
          <w:vertAlign w:val="superscript"/>
        </w:rPr>
      </w:pPr>
      <w:r w:rsidRPr="007F50E7">
        <w:rPr>
          <w:rFonts w:ascii="Times New Roman" w:eastAsia="Aptos" w:hAnsi="Times New Roman" w:cs="Times New Roman"/>
          <w:sz w:val="22"/>
          <w:szCs w:val="22"/>
        </w:rPr>
        <w:t>Rosette S. Hanna</w:t>
      </w:r>
      <w:r w:rsidRPr="007F50E7">
        <w:rPr>
          <w:rFonts w:ascii="Times New Roman" w:eastAsia="Aptos" w:hAnsi="Times New Roman" w:cs="Times New Roman"/>
          <w:sz w:val="22"/>
          <w:szCs w:val="22"/>
          <w:vertAlign w:val="superscript"/>
        </w:rPr>
        <w:t>1,2</w:t>
      </w:r>
      <w:r w:rsidRPr="007F50E7">
        <w:rPr>
          <w:rFonts w:ascii="Times New Roman" w:eastAsia="Aptos" w:hAnsi="Times New Roman" w:cs="Times New Roman"/>
          <w:sz w:val="22"/>
          <w:szCs w:val="22"/>
        </w:rPr>
        <w:t xml:space="preserve">*, Mohamed A. Sebak </w:t>
      </w:r>
      <w:r w:rsidRPr="007F50E7">
        <w:rPr>
          <w:rFonts w:ascii="Times New Roman" w:eastAsia="Aptos" w:hAnsi="Times New Roman" w:cs="Times New Roman"/>
          <w:sz w:val="22"/>
          <w:szCs w:val="22"/>
          <w:vertAlign w:val="superscript"/>
        </w:rPr>
        <w:t>2</w:t>
      </w:r>
      <w:r w:rsidRPr="007F50E7">
        <w:rPr>
          <w:rFonts w:ascii="Times New Roman" w:eastAsia="Aptos" w:hAnsi="Times New Roman" w:cs="Times New Roman"/>
          <w:sz w:val="22"/>
          <w:szCs w:val="22"/>
        </w:rPr>
        <w:t xml:space="preserve">, Ahmed M. Sayed </w:t>
      </w:r>
      <w:r w:rsidRPr="007F50E7">
        <w:rPr>
          <w:rFonts w:ascii="Times New Roman" w:eastAsia="Aptos" w:hAnsi="Times New Roman" w:cs="Times New Roman"/>
          <w:sz w:val="22"/>
          <w:szCs w:val="22"/>
          <w:vertAlign w:val="superscript"/>
        </w:rPr>
        <w:t>3,4</w:t>
      </w:r>
      <w:r w:rsidRPr="007F50E7">
        <w:rPr>
          <w:rFonts w:ascii="Times New Roman" w:eastAsia="Aptos" w:hAnsi="Times New Roman" w:cs="Times New Roman"/>
          <w:sz w:val="22"/>
          <w:szCs w:val="22"/>
        </w:rPr>
        <w:t xml:space="preserve">, Ahmed O. El-Gendy </w:t>
      </w:r>
      <w:r w:rsidRPr="007F50E7">
        <w:rPr>
          <w:rFonts w:ascii="Times New Roman" w:eastAsia="Aptos" w:hAnsi="Times New Roman" w:cs="Times New Roman"/>
          <w:sz w:val="22"/>
          <w:szCs w:val="22"/>
          <w:vertAlign w:val="superscript"/>
        </w:rPr>
        <w:t>2</w:t>
      </w:r>
      <w:r w:rsidRPr="007F50E7">
        <w:rPr>
          <w:rFonts w:ascii="Times New Roman" w:eastAsia="Aptos" w:hAnsi="Times New Roman" w:cs="Times New Roman"/>
          <w:sz w:val="22"/>
          <w:szCs w:val="22"/>
        </w:rPr>
        <w:t xml:space="preserve">, Mostafa N. Taha </w:t>
      </w:r>
      <w:r w:rsidRPr="007F50E7">
        <w:rPr>
          <w:rFonts w:ascii="Times New Roman" w:eastAsia="Aptos" w:hAnsi="Times New Roman" w:cs="Times New Roman"/>
          <w:sz w:val="22"/>
          <w:szCs w:val="22"/>
          <w:vertAlign w:val="superscript"/>
        </w:rPr>
        <w:t>1</w:t>
      </w:r>
    </w:p>
    <w:p w14:paraId="179DC4C8" w14:textId="77777777" w:rsidR="005178E7" w:rsidRPr="007F50E7" w:rsidRDefault="005178E7" w:rsidP="005178E7">
      <w:pPr>
        <w:rPr>
          <w:rFonts w:ascii="Times New Roman" w:eastAsia="Aptos" w:hAnsi="Times New Roman" w:cs="Times New Roman"/>
          <w:sz w:val="22"/>
          <w:szCs w:val="22"/>
        </w:rPr>
      </w:pPr>
      <w:r w:rsidRPr="007F50E7">
        <w:rPr>
          <w:rFonts w:ascii="Times New Roman" w:eastAsia="Aptos" w:hAnsi="Times New Roman" w:cs="Times New Roman"/>
          <w:b/>
          <w:bCs/>
          <w:sz w:val="22"/>
          <w:szCs w:val="22"/>
        </w:rPr>
        <w:t xml:space="preserve">1 </w:t>
      </w:r>
      <w:r w:rsidRPr="007F50E7">
        <w:rPr>
          <w:rFonts w:ascii="Times New Roman" w:eastAsia="Aptos" w:hAnsi="Times New Roman" w:cs="Times New Roman"/>
          <w:sz w:val="22"/>
          <w:szCs w:val="22"/>
        </w:rPr>
        <w:t>Department of Microbiology and Immunology, Faculty of Pharmacy, Nahda University, Beni-</w:t>
      </w:r>
      <w:proofErr w:type="spellStart"/>
      <w:r w:rsidRPr="007F50E7">
        <w:rPr>
          <w:rFonts w:ascii="Times New Roman" w:eastAsia="Aptos" w:hAnsi="Times New Roman" w:cs="Times New Roman"/>
          <w:sz w:val="22"/>
          <w:szCs w:val="22"/>
        </w:rPr>
        <w:t>Suef</w:t>
      </w:r>
      <w:proofErr w:type="spellEnd"/>
      <w:r w:rsidRPr="007F50E7">
        <w:rPr>
          <w:rFonts w:ascii="Times New Roman" w:eastAsia="Aptos" w:hAnsi="Times New Roman" w:cs="Times New Roman"/>
          <w:sz w:val="22"/>
          <w:szCs w:val="22"/>
        </w:rPr>
        <w:t xml:space="preserve"> 62513, Egypt</w:t>
      </w:r>
    </w:p>
    <w:p w14:paraId="1A92DA4A" w14:textId="77777777" w:rsidR="005178E7" w:rsidRPr="007F50E7" w:rsidRDefault="005178E7" w:rsidP="005178E7">
      <w:pPr>
        <w:rPr>
          <w:rFonts w:ascii="Times New Roman" w:eastAsia="Aptos" w:hAnsi="Times New Roman" w:cs="Times New Roman"/>
          <w:sz w:val="22"/>
          <w:szCs w:val="22"/>
        </w:rPr>
      </w:pPr>
      <w:r w:rsidRPr="007F50E7">
        <w:rPr>
          <w:rFonts w:ascii="Times New Roman" w:eastAsia="Aptos" w:hAnsi="Times New Roman" w:cs="Times New Roman"/>
          <w:b/>
          <w:bCs/>
          <w:sz w:val="22"/>
          <w:szCs w:val="22"/>
        </w:rPr>
        <w:t xml:space="preserve">2 </w:t>
      </w:r>
      <w:r w:rsidRPr="007F50E7">
        <w:rPr>
          <w:rFonts w:ascii="Times New Roman" w:eastAsia="Aptos" w:hAnsi="Times New Roman" w:cs="Times New Roman"/>
          <w:sz w:val="22"/>
          <w:szCs w:val="22"/>
        </w:rPr>
        <w:t>Department of Microbiology and Immunology, Faculty of Pharmacy, Beni-</w:t>
      </w:r>
      <w:proofErr w:type="spellStart"/>
      <w:r w:rsidRPr="007F50E7">
        <w:rPr>
          <w:rFonts w:ascii="Times New Roman" w:eastAsia="Aptos" w:hAnsi="Times New Roman" w:cs="Times New Roman"/>
          <w:sz w:val="22"/>
          <w:szCs w:val="22"/>
        </w:rPr>
        <w:t>Suef</w:t>
      </w:r>
      <w:proofErr w:type="spellEnd"/>
      <w:r w:rsidRPr="007F50E7">
        <w:rPr>
          <w:rFonts w:ascii="Times New Roman" w:eastAsia="Aptos" w:hAnsi="Times New Roman" w:cs="Times New Roman"/>
          <w:sz w:val="22"/>
          <w:szCs w:val="22"/>
        </w:rPr>
        <w:t xml:space="preserve"> University, Beni-</w:t>
      </w:r>
      <w:proofErr w:type="spellStart"/>
      <w:r w:rsidRPr="007F50E7">
        <w:rPr>
          <w:rFonts w:ascii="Times New Roman" w:eastAsia="Aptos" w:hAnsi="Times New Roman" w:cs="Times New Roman"/>
          <w:sz w:val="22"/>
          <w:szCs w:val="22"/>
        </w:rPr>
        <w:t>Suef</w:t>
      </w:r>
      <w:proofErr w:type="spellEnd"/>
      <w:r w:rsidRPr="007F50E7">
        <w:rPr>
          <w:rFonts w:ascii="Times New Roman" w:eastAsia="Aptos" w:hAnsi="Times New Roman" w:cs="Times New Roman"/>
          <w:sz w:val="22"/>
          <w:szCs w:val="22"/>
        </w:rPr>
        <w:t xml:space="preserve"> 62514, Egypt.</w:t>
      </w:r>
    </w:p>
    <w:p w14:paraId="0ECD141D" w14:textId="77777777" w:rsidR="005178E7" w:rsidRPr="007F50E7" w:rsidRDefault="005178E7" w:rsidP="005178E7">
      <w:pPr>
        <w:rPr>
          <w:rFonts w:ascii="Times New Roman" w:eastAsia="Aptos" w:hAnsi="Times New Roman" w:cs="Times New Roman"/>
          <w:sz w:val="22"/>
          <w:szCs w:val="22"/>
        </w:rPr>
      </w:pPr>
      <w:r w:rsidRPr="007F50E7">
        <w:rPr>
          <w:rFonts w:ascii="Times New Roman" w:eastAsia="Aptos" w:hAnsi="Times New Roman" w:cs="Times New Roman"/>
          <w:b/>
          <w:bCs/>
          <w:sz w:val="22"/>
          <w:szCs w:val="22"/>
        </w:rPr>
        <w:t xml:space="preserve">3 </w:t>
      </w:r>
      <w:r w:rsidRPr="007F50E7">
        <w:rPr>
          <w:rFonts w:ascii="Times New Roman" w:eastAsia="Aptos" w:hAnsi="Times New Roman" w:cs="Times New Roman"/>
          <w:sz w:val="22"/>
          <w:szCs w:val="22"/>
        </w:rPr>
        <w:t>Department of Pharmacognosy, Faculty of Pharmacy, Nahda University, Beni-</w:t>
      </w:r>
      <w:proofErr w:type="spellStart"/>
      <w:r w:rsidRPr="007F50E7">
        <w:rPr>
          <w:rFonts w:ascii="Times New Roman" w:eastAsia="Aptos" w:hAnsi="Times New Roman" w:cs="Times New Roman"/>
          <w:sz w:val="22"/>
          <w:szCs w:val="22"/>
        </w:rPr>
        <w:t>Suef</w:t>
      </w:r>
      <w:proofErr w:type="spellEnd"/>
      <w:r w:rsidRPr="007F50E7">
        <w:rPr>
          <w:rFonts w:ascii="Times New Roman" w:eastAsia="Aptos" w:hAnsi="Times New Roman" w:cs="Times New Roman"/>
          <w:sz w:val="22"/>
          <w:szCs w:val="22"/>
        </w:rPr>
        <w:t xml:space="preserve"> 62513, Egypt</w:t>
      </w:r>
    </w:p>
    <w:p w14:paraId="6C895E18" w14:textId="1EB85E61" w:rsidR="005178E7" w:rsidRPr="007F50E7" w:rsidRDefault="005178E7" w:rsidP="005178E7">
      <w:pPr>
        <w:rPr>
          <w:rFonts w:ascii="Times New Roman" w:eastAsia="Aptos" w:hAnsi="Times New Roman" w:cs="Times New Roman"/>
          <w:sz w:val="22"/>
          <w:szCs w:val="22"/>
        </w:rPr>
      </w:pPr>
      <w:r w:rsidRPr="007F50E7">
        <w:rPr>
          <w:rFonts w:ascii="Times New Roman" w:eastAsia="Aptos" w:hAnsi="Times New Roman" w:cs="Times New Roman"/>
          <w:sz w:val="22"/>
          <w:szCs w:val="22"/>
        </w:rPr>
        <w:t xml:space="preserve">4 Department of Pharmacognosy, </w:t>
      </w:r>
      <w:r w:rsidR="00412ECD">
        <w:rPr>
          <w:rFonts w:ascii="Times New Roman" w:eastAsia="Aptos" w:hAnsi="Times New Roman" w:cs="Times New Roman"/>
          <w:sz w:val="22"/>
          <w:szCs w:val="22"/>
        </w:rPr>
        <w:t>C</w:t>
      </w:r>
      <w:r w:rsidRPr="007F50E7">
        <w:rPr>
          <w:rFonts w:ascii="Times New Roman" w:eastAsia="Aptos" w:hAnsi="Times New Roman" w:cs="Times New Roman"/>
          <w:sz w:val="22"/>
          <w:szCs w:val="22"/>
        </w:rPr>
        <w:t xml:space="preserve">ollege of Pharmacy, </w:t>
      </w:r>
      <w:proofErr w:type="spellStart"/>
      <w:r w:rsidRPr="007F50E7">
        <w:rPr>
          <w:rFonts w:ascii="Times New Roman" w:eastAsia="Aptos" w:hAnsi="Times New Roman" w:cs="Times New Roman"/>
          <w:sz w:val="22"/>
          <w:szCs w:val="22"/>
        </w:rPr>
        <w:t>Almaaqal</w:t>
      </w:r>
      <w:proofErr w:type="spellEnd"/>
      <w:r w:rsidRPr="007F50E7">
        <w:rPr>
          <w:rFonts w:ascii="Times New Roman" w:eastAsia="Aptos" w:hAnsi="Times New Roman" w:cs="Times New Roman"/>
          <w:sz w:val="22"/>
          <w:szCs w:val="22"/>
        </w:rPr>
        <w:t xml:space="preserve"> University, 61014 Basrah, Iraq</w:t>
      </w:r>
    </w:p>
    <w:p w14:paraId="6CEBBC72" w14:textId="77777777" w:rsidR="005178E7" w:rsidRPr="007F50E7" w:rsidRDefault="005178E7" w:rsidP="005178E7">
      <w:pPr>
        <w:rPr>
          <w:rFonts w:ascii="Times New Roman" w:eastAsia="Aptos" w:hAnsi="Times New Roman" w:cs="Times New Roman"/>
          <w:sz w:val="22"/>
          <w:szCs w:val="22"/>
        </w:rPr>
      </w:pPr>
      <w:r w:rsidRPr="007F50E7">
        <w:rPr>
          <w:rFonts w:ascii="Times New Roman" w:eastAsia="Aptos" w:hAnsi="Times New Roman" w:cs="Times New Roman"/>
          <w:sz w:val="22"/>
          <w:szCs w:val="22"/>
        </w:rPr>
        <w:t>*Corresponding author: rosette.sameh@nub.edu.eg</w:t>
      </w:r>
    </w:p>
    <w:p w14:paraId="6D7ADC86" w14:textId="77777777" w:rsidR="005178E7" w:rsidRDefault="005178E7" w:rsidP="00103C76">
      <w:pPr>
        <w:jc w:val="center"/>
        <w:rPr>
          <w:b/>
          <w:bCs/>
        </w:rPr>
      </w:pPr>
    </w:p>
    <w:p w14:paraId="575FB16C" w14:textId="77777777" w:rsidR="005178E7" w:rsidRDefault="005178E7" w:rsidP="00103C76">
      <w:pPr>
        <w:jc w:val="center"/>
        <w:rPr>
          <w:b/>
          <w:bCs/>
        </w:rPr>
      </w:pPr>
    </w:p>
    <w:p w14:paraId="2AC62A07" w14:textId="01130FEA" w:rsidR="005178E7" w:rsidRDefault="005178E7" w:rsidP="005178E7">
      <w:pPr>
        <w:spacing w:line="360" w:lineRule="auto"/>
        <w:rPr>
          <w:b/>
          <w:bCs/>
        </w:rPr>
      </w:pPr>
      <w:r w:rsidRPr="005178E7">
        <w:rPr>
          <w:rFonts w:asciiTheme="majorBidi" w:hAnsiTheme="majorBidi" w:cstheme="majorBidi"/>
          <w:b/>
          <w:bCs/>
        </w:rPr>
        <w:t xml:space="preserve">Table S2. Antimicrobial activity of Rottlerin and Ciprofloxacin against </w:t>
      </w:r>
      <w:r w:rsidRPr="005178E7">
        <w:rPr>
          <w:rFonts w:asciiTheme="majorBidi" w:hAnsiTheme="majorBidi" w:cstheme="majorBidi"/>
          <w:b/>
          <w:bCs/>
          <w:i/>
          <w:iCs/>
        </w:rPr>
        <w:t>Klebsiella pneumoniae</w:t>
      </w:r>
      <w:r w:rsidRPr="005178E7">
        <w:rPr>
          <w:rFonts w:asciiTheme="majorBidi" w:hAnsiTheme="majorBidi" w:cstheme="majorBidi"/>
          <w:b/>
          <w:bCs/>
        </w:rPr>
        <w:t xml:space="preserve"> (ATCC 700603). </w:t>
      </w:r>
      <w:r w:rsidR="00412ECD">
        <w:rPr>
          <w:rFonts w:asciiTheme="majorBidi" w:hAnsiTheme="majorBidi" w:cstheme="majorBidi"/>
          <w:b/>
          <w:bCs/>
        </w:rPr>
        <w:t>The zone</w:t>
      </w:r>
      <w:r w:rsidRPr="005178E7">
        <w:rPr>
          <w:rFonts w:asciiTheme="majorBidi" w:hAnsiTheme="majorBidi" w:cstheme="majorBidi"/>
          <w:b/>
          <w:bCs/>
        </w:rPr>
        <w:t xml:space="preserve"> of clearance was determined to assess susceptibility</w:t>
      </w:r>
    </w:p>
    <w:p w14:paraId="36B736DA" w14:textId="77777777" w:rsidR="005178E7" w:rsidRDefault="005178E7" w:rsidP="00103C76">
      <w:pPr>
        <w:jc w:val="center"/>
        <w:rPr>
          <w:b/>
          <w:bCs/>
        </w:rPr>
      </w:pPr>
    </w:p>
    <w:p w14:paraId="58FAA830" w14:textId="2209718D" w:rsidR="00103C76" w:rsidRPr="00103C76" w:rsidRDefault="00103C76" w:rsidP="00103C76">
      <w:pPr>
        <w:jc w:val="center"/>
        <w:rPr>
          <w:b/>
          <w:bCs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03C76" w14:paraId="3835D6F5" w14:textId="77777777" w:rsidTr="00103C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9A05977" w14:textId="1FBAA0A9" w:rsidR="00103C76" w:rsidRPr="00412ECD" w:rsidRDefault="00103C76" w:rsidP="00412ECD">
            <w:pPr>
              <w:jc w:val="center"/>
              <w:rPr>
                <w:rFonts w:asciiTheme="majorBidi" w:hAnsiTheme="majorBidi" w:cstheme="majorBidi"/>
              </w:rPr>
            </w:pPr>
            <w:r w:rsidRPr="00412ECD">
              <w:rPr>
                <w:rFonts w:asciiTheme="majorBidi" w:hAnsiTheme="majorBidi" w:cstheme="majorBidi"/>
              </w:rPr>
              <w:t>Compound</w:t>
            </w:r>
          </w:p>
        </w:tc>
        <w:tc>
          <w:tcPr>
            <w:tcW w:w="3117" w:type="dxa"/>
          </w:tcPr>
          <w:p w14:paraId="77951F91" w14:textId="7637086A" w:rsidR="00103C76" w:rsidRPr="00412ECD" w:rsidRDefault="00103C76" w:rsidP="00412E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12ECD">
              <w:rPr>
                <w:rFonts w:asciiTheme="majorBidi" w:hAnsiTheme="majorBidi" w:cstheme="majorBidi"/>
              </w:rPr>
              <w:t>Concentration (mg/mL)</w:t>
            </w:r>
          </w:p>
        </w:tc>
        <w:tc>
          <w:tcPr>
            <w:tcW w:w="3117" w:type="dxa"/>
          </w:tcPr>
          <w:p w14:paraId="2EE8E8C0" w14:textId="21294D2C" w:rsidR="00103C76" w:rsidRPr="00412ECD" w:rsidRDefault="00103C76" w:rsidP="00412E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12ECD">
              <w:rPr>
                <w:rFonts w:asciiTheme="majorBidi" w:hAnsiTheme="majorBidi" w:cstheme="majorBidi"/>
              </w:rPr>
              <w:t>Inhibition Zone in mm</w:t>
            </w:r>
          </w:p>
        </w:tc>
      </w:tr>
      <w:tr w:rsidR="00103C76" w14:paraId="5B695E0F" w14:textId="77777777" w:rsidTr="00103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4843A3E" w14:textId="7964CE23" w:rsidR="00103C76" w:rsidRPr="00412ECD" w:rsidRDefault="00103C76" w:rsidP="00412ECD">
            <w:pPr>
              <w:jc w:val="center"/>
              <w:rPr>
                <w:rFonts w:asciiTheme="majorBidi" w:hAnsiTheme="majorBidi" w:cstheme="majorBidi"/>
              </w:rPr>
            </w:pPr>
            <w:r w:rsidRPr="00412ECD">
              <w:rPr>
                <w:rFonts w:asciiTheme="majorBidi" w:hAnsiTheme="majorBidi" w:cstheme="majorBidi"/>
              </w:rPr>
              <w:t>Rottlerin</w:t>
            </w:r>
          </w:p>
        </w:tc>
        <w:tc>
          <w:tcPr>
            <w:tcW w:w="3117" w:type="dxa"/>
          </w:tcPr>
          <w:p w14:paraId="5FBB09B4" w14:textId="580E382E" w:rsidR="00103C76" w:rsidRPr="00412ECD" w:rsidRDefault="00103C76" w:rsidP="00412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12ECD">
              <w:rPr>
                <w:rFonts w:asciiTheme="majorBidi" w:hAnsiTheme="majorBidi" w:cstheme="majorBidi"/>
              </w:rPr>
              <w:t>2.0</w:t>
            </w:r>
          </w:p>
        </w:tc>
        <w:tc>
          <w:tcPr>
            <w:tcW w:w="3117" w:type="dxa"/>
          </w:tcPr>
          <w:p w14:paraId="25702C8A" w14:textId="244AF428" w:rsidR="00103C76" w:rsidRPr="00412ECD" w:rsidRDefault="00103C76" w:rsidP="00412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12ECD">
              <w:rPr>
                <w:rFonts w:asciiTheme="majorBidi" w:hAnsiTheme="majorBidi" w:cstheme="majorBidi"/>
              </w:rPr>
              <w:t>35</w:t>
            </w:r>
          </w:p>
        </w:tc>
      </w:tr>
      <w:tr w:rsidR="00103C76" w14:paraId="6F4B6B24" w14:textId="77777777" w:rsidTr="00103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44A3A91" w14:textId="5CA8A12F" w:rsidR="00103C76" w:rsidRPr="00412ECD" w:rsidRDefault="00103C76" w:rsidP="00412ECD">
            <w:pPr>
              <w:jc w:val="center"/>
              <w:rPr>
                <w:rFonts w:asciiTheme="majorBidi" w:hAnsiTheme="majorBidi" w:cstheme="majorBidi"/>
              </w:rPr>
            </w:pPr>
            <w:r w:rsidRPr="00412ECD">
              <w:rPr>
                <w:rFonts w:asciiTheme="majorBidi" w:hAnsiTheme="majorBidi" w:cstheme="majorBidi"/>
              </w:rPr>
              <w:t>Ciprofloxacin</w:t>
            </w:r>
          </w:p>
        </w:tc>
        <w:tc>
          <w:tcPr>
            <w:tcW w:w="3117" w:type="dxa"/>
          </w:tcPr>
          <w:p w14:paraId="5EB5B3B3" w14:textId="053EE160" w:rsidR="00103C76" w:rsidRPr="00412ECD" w:rsidRDefault="00103C76" w:rsidP="00412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12ECD">
              <w:rPr>
                <w:rFonts w:asciiTheme="majorBidi" w:hAnsiTheme="majorBidi" w:cstheme="majorBidi"/>
              </w:rPr>
              <w:t>2.0</w:t>
            </w:r>
          </w:p>
        </w:tc>
        <w:tc>
          <w:tcPr>
            <w:tcW w:w="3117" w:type="dxa"/>
          </w:tcPr>
          <w:p w14:paraId="7BBBD0EF" w14:textId="1A6383D4" w:rsidR="00103C76" w:rsidRPr="00412ECD" w:rsidRDefault="00103C76" w:rsidP="00412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12ECD">
              <w:rPr>
                <w:rFonts w:asciiTheme="majorBidi" w:hAnsiTheme="majorBidi" w:cstheme="majorBidi"/>
              </w:rPr>
              <w:t>11</w:t>
            </w:r>
          </w:p>
        </w:tc>
      </w:tr>
    </w:tbl>
    <w:p w14:paraId="0C6CF3D6" w14:textId="77777777" w:rsidR="00103C76" w:rsidRDefault="00103C76" w:rsidP="00103C76"/>
    <w:sectPr w:rsidR="00103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76"/>
    <w:rsid w:val="00103C76"/>
    <w:rsid w:val="00412ECD"/>
    <w:rsid w:val="005178E7"/>
    <w:rsid w:val="008C5732"/>
    <w:rsid w:val="00E8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EEF8B"/>
  <w15:chartTrackingRefBased/>
  <w15:docId w15:val="{23D183A3-588A-42BA-814B-CB858653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C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C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C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C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C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C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C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C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C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C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C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C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C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3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103C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03C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03C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103C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103C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03C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821</Characters>
  <Application>Microsoft Office Word</Application>
  <DocSecurity>0</DocSecurity>
  <Lines>26</Lines>
  <Paragraphs>20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Rosette Sameh</dc:creator>
  <cp:keywords/>
  <dc:description/>
  <cp:lastModifiedBy>Rosette Sameh</cp:lastModifiedBy>
  <cp:revision>3</cp:revision>
  <dcterms:created xsi:type="dcterms:W3CDTF">2025-09-26T18:09:00Z</dcterms:created>
  <dcterms:modified xsi:type="dcterms:W3CDTF">2025-09-30T18:18:00Z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c50d5a52-c7ef-4c65-a314-e53f17899995</vt:lpwstr>
  </property>
</Properties>
</file>