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148EE9" w14:textId="7C4421E0" w:rsidR="008E48CC" w:rsidRDefault="008E48CC" w:rsidP="008E48CC">
      <w:pPr>
        <w:jc w:val="center"/>
        <w:rPr>
          <w:rFonts w:ascii="Times New Roman" w:hAnsi="Times New Roman" w:cs="Times New Roman"/>
          <w:b/>
          <w:bCs/>
        </w:rPr>
      </w:pPr>
      <w:r w:rsidRPr="008E48CC">
        <w:rPr>
          <w:rFonts w:ascii="Times New Roman" w:hAnsi="Times New Roman" w:cs="Times New Roman" w:hint="eastAsia"/>
          <w:b/>
          <w:bCs/>
        </w:rPr>
        <w:t>Supplemental Information</w:t>
      </w:r>
    </w:p>
    <w:p w14:paraId="2586B50F" w14:textId="77777777" w:rsidR="008E48CC" w:rsidRDefault="008E48CC" w:rsidP="008E48CC">
      <w:pPr>
        <w:jc w:val="left"/>
        <w:rPr>
          <w:rFonts w:ascii="Times New Roman" w:hAnsi="Times New Roman" w:cs="Times New Roman"/>
          <w:b/>
          <w:bCs/>
        </w:rPr>
      </w:pPr>
    </w:p>
    <w:p w14:paraId="40687637" w14:textId="34646F74" w:rsidR="008E48CC" w:rsidRPr="00903245" w:rsidRDefault="008E48CC" w:rsidP="008E48CC">
      <w:pPr>
        <w:jc w:val="center"/>
        <w:rPr>
          <w:rFonts w:ascii="Times New Roman" w:hAnsi="Times New Roman" w:cs="Times New Roman"/>
          <w:b/>
          <w:bCs/>
        </w:rPr>
      </w:pPr>
      <w:r w:rsidRPr="00903245">
        <w:rPr>
          <w:rFonts w:ascii="Times New Roman" w:hAnsi="Times New Roman" w:cs="Times New Roman"/>
          <w:b/>
          <w:bCs/>
        </w:rPr>
        <w:t>Global Landscape of Antibiotic Resistance Genes in the Human Gut Microbiome MAG</w:t>
      </w:r>
    </w:p>
    <w:p w14:paraId="028BF1B4" w14:textId="77777777" w:rsidR="008E48CC" w:rsidRPr="00903245" w:rsidRDefault="008E48CC" w:rsidP="008E48CC">
      <w:pPr>
        <w:jc w:val="center"/>
        <w:rPr>
          <w:rFonts w:ascii="Times New Roman" w:hAnsi="Times New Roman" w:cs="Times New Roman"/>
          <w:b/>
          <w:bCs/>
        </w:rPr>
      </w:pPr>
    </w:p>
    <w:p w14:paraId="4DC43213" w14:textId="03D075B2" w:rsidR="008E48CC" w:rsidRPr="008E48CC" w:rsidRDefault="008E48CC" w:rsidP="008E48CC">
      <w:pPr>
        <w:jc w:val="center"/>
        <w:rPr>
          <w:rFonts w:ascii="Times New Roman" w:hAnsi="Times New Roman" w:cs="Times New Roman"/>
          <w:sz w:val="15"/>
          <w:szCs w:val="15"/>
        </w:rPr>
      </w:pPr>
      <w:proofErr w:type="spellStart"/>
      <w:r w:rsidRPr="008E48CC">
        <w:rPr>
          <w:rFonts w:ascii="Times New Roman" w:hAnsi="Times New Roman" w:cs="Times New Roman"/>
          <w:sz w:val="15"/>
          <w:szCs w:val="15"/>
        </w:rPr>
        <w:t>Chenjie</w:t>
      </w:r>
      <w:proofErr w:type="spellEnd"/>
      <w:r w:rsidRPr="008E48CC">
        <w:rPr>
          <w:rFonts w:ascii="Times New Roman" w:hAnsi="Times New Roman" w:cs="Times New Roman"/>
          <w:sz w:val="15"/>
          <w:szCs w:val="15"/>
        </w:rPr>
        <w:t xml:space="preserve"> Wang</w:t>
      </w:r>
      <w:r w:rsidRPr="008E48CC">
        <w:rPr>
          <w:rFonts w:ascii="Times New Roman" w:eastAsia="DengXian" w:hAnsi="Times New Roman" w:cs="Times New Roman" w:hint="eastAsia"/>
          <w:color w:val="000000"/>
          <w:kern w:val="0"/>
          <w:sz w:val="16"/>
          <w:szCs w:val="16"/>
          <w:vertAlign w:val="superscript"/>
        </w:rPr>
        <w:t>a</w:t>
      </w:r>
      <w:r w:rsidRPr="008E48CC">
        <w:rPr>
          <w:rFonts w:ascii="Times New Roman" w:hAnsi="Times New Roman" w:cs="Times New Roman"/>
          <w:sz w:val="15"/>
          <w:szCs w:val="15"/>
        </w:rPr>
        <w:t>；</w:t>
      </w:r>
      <w:r w:rsidRPr="008E48CC">
        <w:rPr>
          <w:rFonts w:ascii="Times New Roman" w:hAnsi="Times New Roman" w:cs="Times New Roman" w:hint="eastAsia"/>
          <w:sz w:val="15"/>
          <w:szCs w:val="15"/>
        </w:rPr>
        <w:t xml:space="preserve">Cancan </w:t>
      </w:r>
      <w:proofErr w:type="spellStart"/>
      <w:r w:rsidRPr="008E48CC">
        <w:rPr>
          <w:rFonts w:ascii="Times New Roman" w:hAnsi="Times New Roman" w:cs="Times New Roman" w:hint="eastAsia"/>
          <w:sz w:val="15"/>
          <w:szCs w:val="15"/>
        </w:rPr>
        <w:t>Wang</w:t>
      </w:r>
      <w:r w:rsidRPr="008E48CC">
        <w:rPr>
          <w:rFonts w:ascii="Times New Roman" w:hAnsi="Times New Roman" w:cs="Times New Roman" w:hint="eastAsia"/>
          <w:sz w:val="15"/>
          <w:szCs w:val="15"/>
          <w:vertAlign w:val="superscript"/>
        </w:rPr>
        <w:t>a,b</w:t>
      </w:r>
      <w:proofErr w:type="spellEnd"/>
      <w:r w:rsidRPr="008E48CC">
        <w:rPr>
          <w:rFonts w:ascii="Times New Roman" w:hAnsi="Times New Roman" w:cs="Times New Roman" w:hint="eastAsia"/>
          <w:sz w:val="15"/>
          <w:szCs w:val="15"/>
        </w:rPr>
        <w:t xml:space="preserve">; </w:t>
      </w:r>
      <w:r w:rsidRPr="008E48CC">
        <w:rPr>
          <w:rFonts w:ascii="Times New Roman" w:hAnsi="Times New Roman" w:cs="Times New Roman"/>
          <w:sz w:val="15"/>
          <w:szCs w:val="15"/>
        </w:rPr>
        <w:t>Kai Shi</w:t>
      </w:r>
      <w:r w:rsidRPr="008E48CC">
        <w:rPr>
          <w:rFonts w:ascii="Times New Roman" w:eastAsia="DengXian" w:hAnsi="Times New Roman" w:cs="Times New Roman" w:hint="eastAsia"/>
          <w:color w:val="000000"/>
          <w:kern w:val="0"/>
          <w:sz w:val="16"/>
          <w:szCs w:val="16"/>
          <w:vertAlign w:val="superscript"/>
        </w:rPr>
        <w:t>a</w:t>
      </w:r>
      <w:r w:rsidRPr="008E48CC">
        <w:rPr>
          <w:rFonts w:ascii="Times New Roman" w:hAnsi="Times New Roman" w:cs="Times New Roman"/>
          <w:sz w:val="15"/>
          <w:szCs w:val="15"/>
        </w:rPr>
        <w:t>；</w:t>
      </w:r>
      <w:r w:rsidRPr="008E48CC">
        <w:rPr>
          <w:rFonts w:ascii="Times New Roman" w:hAnsi="Times New Roman" w:cs="Times New Roman"/>
          <w:sz w:val="15"/>
          <w:szCs w:val="15"/>
        </w:rPr>
        <w:t>Yiping Ding</w:t>
      </w:r>
      <w:r w:rsidRPr="008E48CC">
        <w:rPr>
          <w:rFonts w:ascii="Times New Roman" w:eastAsia="DengXian" w:hAnsi="Times New Roman" w:cs="Times New Roman" w:hint="eastAsia"/>
          <w:color w:val="000000"/>
          <w:kern w:val="0"/>
          <w:sz w:val="16"/>
          <w:szCs w:val="16"/>
          <w:vertAlign w:val="superscript"/>
        </w:rPr>
        <w:t>a</w:t>
      </w:r>
      <w:r w:rsidRPr="008E48CC">
        <w:rPr>
          <w:rFonts w:ascii="Times New Roman" w:hAnsi="Times New Roman" w:cs="Times New Roman"/>
          <w:sz w:val="15"/>
          <w:szCs w:val="15"/>
        </w:rPr>
        <w:t>；</w:t>
      </w:r>
      <w:proofErr w:type="spellStart"/>
      <w:r w:rsidRPr="008E48CC">
        <w:rPr>
          <w:rFonts w:ascii="Times New Roman" w:hAnsi="Times New Roman" w:cs="Times New Roman"/>
          <w:sz w:val="15"/>
          <w:szCs w:val="15"/>
        </w:rPr>
        <w:t>Juanjuan</w:t>
      </w:r>
      <w:proofErr w:type="spellEnd"/>
      <w:r w:rsidRPr="008E48CC">
        <w:rPr>
          <w:rFonts w:ascii="Times New Roman" w:hAnsi="Times New Roman" w:cs="Times New Roman"/>
          <w:sz w:val="15"/>
          <w:szCs w:val="15"/>
        </w:rPr>
        <w:t xml:space="preserve"> Yu</w:t>
      </w:r>
      <w:r w:rsidRPr="008E48CC">
        <w:rPr>
          <w:rFonts w:ascii="Times New Roman" w:eastAsia="DengXian" w:hAnsi="Times New Roman" w:cs="Times New Roman" w:hint="eastAsia"/>
          <w:color w:val="000000"/>
          <w:kern w:val="0"/>
          <w:sz w:val="16"/>
          <w:szCs w:val="16"/>
          <w:vertAlign w:val="superscript"/>
        </w:rPr>
        <w:t>a</w:t>
      </w:r>
      <w:r w:rsidRPr="008E48CC">
        <w:rPr>
          <w:rFonts w:ascii="Times New Roman" w:hAnsi="Times New Roman" w:cs="Times New Roman"/>
          <w:sz w:val="15"/>
          <w:szCs w:val="15"/>
        </w:rPr>
        <w:t>；</w:t>
      </w:r>
      <w:r w:rsidRPr="008E48CC">
        <w:rPr>
          <w:rFonts w:ascii="Times New Roman" w:hAnsi="Times New Roman" w:cs="Times New Roman"/>
          <w:sz w:val="15"/>
          <w:szCs w:val="15"/>
        </w:rPr>
        <w:t>Yujie Yue</w:t>
      </w:r>
      <w:r w:rsidRPr="008E48CC">
        <w:rPr>
          <w:rFonts w:ascii="Times New Roman" w:eastAsia="DengXian" w:hAnsi="Times New Roman" w:cs="Times New Roman" w:hint="eastAsia"/>
          <w:color w:val="000000"/>
          <w:kern w:val="0"/>
          <w:sz w:val="16"/>
          <w:szCs w:val="16"/>
          <w:vertAlign w:val="superscript"/>
        </w:rPr>
        <w:t>a</w:t>
      </w:r>
      <w:r w:rsidRPr="008E48CC">
        <w:rPr>
          <w:rFonts w:ascii="Times New Roman" w:hAnsi="Times New Roman" w:cs="Times New Roman"/>
          <w:sz w:val="15"/>
          <w:szCs w:val="15"/>
        </w:rPr>
        <w:t>; Hong Wang</w:t>
      </w:r>
      <w:r w:rsidRPr="008E48CC">
        <w:rPr>
          <w:rFonts w:ascii="Times New Roman" w:eastAsia="DengXian" w:hAnsi="Times New Roman" w:cs="Times New Roman" w:hint="eastAsia"/>
          <w:color w:val="000000"/>
          <w:kern w:val="0"/>
          <w:sz w:val="16"/>
          <w:szCs w:val="16"/>
          <w:vertAlign w:val="superscript"/>
        </w:rPr>
        <w:t>a</w:t>
      </w:r>
      <w:r w:rsidRPr="008E48CC">
        <w:rPr>
          <w:rFonts w:ascii="Times New Roman" w:hAnsi="Times New Roman" w:cs="Times New Roman"/>
          <w:sz w:val="15"/>
          <w:szCs w:val="15"/>
        </w:rPr>
        <w:t>; Jianwei Chen</w:t>
      </w:r>
      <w:r w:rsidRPr="008E48CC">
        <w:rPr>
          <w:rFonts w:ascii="Times New Roman" w:eastAsia="DengXian" w:hAnsi="Times New Roman" w:cs="Times New Roman" w:hint="eastAsia"/>
          <w:color w:val="000000"/>
          <w:kern w:val="0"/>
          <w:sz w:val="16"/>
          <w:szCs w:val="16"/>
          <w:vertAlign w:val="superscript"/>
        </w:rPr>
        <w:t>a</w:t>
      </w:r>
      <w:r w:rsidRPr="008E48CC">
        <w:rPr>
          <w:rFonts w:ascii="Times New Roman" w:eastAsia="DengXian" w:hAnsi="Times New Roman" w:cs="Times New Roman"/>
          <w:color w:val="000000"/>
          <w:kern w:val="0"/>
          <w:sz w:val="16"/>
          <w:szCs w:val="16"/>
          <w:vertAlign w:val="superscript"/>
        </w:rPr>
        <w:t>,</w:t>
      </w:r>
      <w:r w:rsidRPr="008E48CC">
        <w:rPr>
          <w:rFonts w:ascii="Times New Roman" w:hAnsi="Times New Roman" w:cs="Times New Roman"/>
          <w:sz w:val="15"/>
          <w:szCs w:val="15"/>
          <w:vertAlign w:val="superscript"/>
        </w:rPr>
        <w:t>*</w:t>
      </w:r>
    </w:p>
    <w:p w14:paraId="51E45A49" w14:textId="77777777" w:rsidR="008E48CC" w:rsidRPr="008E48CC" w:rsidRDefault="008E48CC">
      <w:pPr>
        <w:widowControl/>
        <w:jc w:val="left"/>
      </w:pPr>
    </w:p>
    <w:p w14:paraId="24E23959" w14:textId="15BEC04F" w:rsidR="008E48CC" w:rsidRDefault="008E48CC">
      <w:pPr>
        <w:widowControl/>
        <w:jc w:val="left"/>
      </w:pPr>
      <w:r>
        <w:rPr>
          <w:rFonts w:hint="eastAsia"/>
        </w:rPr>
        <w:br w:type="page"/>
      </w:r>
    </w:p>
    <w:p w14:paraId="053BA78B" w14:textId="77777777" w:rsidR="004552DB" w:rsidRDefault="004552DB">
      <w:pPr>
        <w:rPr>
          <w:rFonts w:ascii="Times New Roman" w:hAnsi="Times New Roman" w:cs="Times New Roman"/>
        </w:rPr>
      </w:pPr>
    </w:p>
    <w:p w14:paraId="54DABFD0" w14:textId="596A46AC" w:rsidR="004552DB" w:rsidRDefault="00AC20EB">
      <w:r>
        <w:rPr>
          <w:noProof/>
        </w:rPr>
        <w:drawing>
          <wp:inline distT="0" distB="0" distL="0" distR="0" wp14:anchorId="5D262A58" wp14:editId="722A6BE6">
            <wp:extent cx="5274310" cy="308864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B52575" w14:textId="3514061C" w:rsidR="004552DB" w:rsidRDefault="004552DB" w:rsidP="004552DB">
      <w:pPr>
        <w:rPr>
          <w:rFonts w:ascii="Times New Roman" w:hAnsi="Times New Roman" w:cs="Times New Roman"/>
        </w:rPr>
      </w:pPr>
      <w:r>
        <w:rPr>
          <w:rFonts w:hint="eastAsia"/>
        </w:rPr>
        <w:t>Fig.</w:t>
      </w:r>
      <w:r w:rsidR="00F52BBE">
        <w:rPr>
          <w:rFonts w:hint="eastAsia"/>
        </w:rPr>
        <w:t xml:space="preserve"> </w:t>
      </w:r>
      <w:r>
        <w:rPr>
          <w:rFonts w:hint="eastAsia"/>
        </w:rPr>
        <w:t>S</w:t>
      </w:r>
      <w:r w:rsidR="00F52BBE">
        <w:rPr>
          <w:rFonts w:hint="eastAsia"/>
        </w:rPr>
        <w:t>1</w:t>
      </w:r>
      <w:r w:rsidR="008E48CC">
        <w:rPr>
          <w:rFonts w:hint="eastAsia"/>
        </w:rPr>
        <w:t>.</w:t>
      </w:r>
      <w:r>
        <w:rPr>
          <w:rFonts w:hint="eastAsia"/>
        </w:rPr>
        <w:t xml:space="preserve"> </w:t>
      </w:r>
      <w:r w:rsidRPr="00903245">
        <w:rPr>
          <w:rFonts w:ascii="Times New Roman" w:hAnsi="Times New Roman" w:cs="Times New Roman"/>
        </w:rPr>
        <w:t xml:space="preserve">Circular phylogenetic tree showing the taxonomic classification of ARG-hosting species in </w:t>
      </w:r>
      <w:r>
        <w:rPr>
          <w:rFonts w:ascii="Times New Roman" w:hAnsi="Times New Roman" w:cs="Times New Roman" w:hint="eastAsia"/>
        </w:rPr>
        <w:t>North America</w:t>
      </w:r>
      <w:r w:rsidRPr="00903245">
        <w:rPr>
          <w:rFonts w:ascii="Times New Roman" w:hAnsi="Times New Roman" w:cs="Times New Roman"/>
        </w:rPr>
        <w:t xml:space="preserve">. From the innermost to the outermost rings, the layers represent phylum, class, order, family, genus, and species. </w:t>
      </w:r>
      <w:r>
        <w:rPr>
          <w:rFonts w:ascii="Times New Roman" w:hAnsi="Times New Roman" w:cs="Times New Roman" w:hint="eastAsia"/>
        </w:rPr>
        <w:t>The c</w:t>
      </w:r>
      <w:r w:rsidRPr="00903245">
        <w:rPr>
          <w:rFonts w:ascii="Times New Roman" w:hAnsi="Times New Roman" w:cs="Times New Roman"/>
        </w:rPr>
        <w:t xml:space="preserve">olors of the lines and nodes indicate different phyla. </w:t>
      </w:r>
      <w:r>
        <w:rPr>
          <w:rFonts w:ascii="Times New Roman" w:hAnsi="Times New Roman" w:cs="Times New Roman" w:hint="eastAsia"/>
        </w:rPr>
        <w:t>The o</w:t>
      </w:r>
      <w:r w:rsidRPr="00903245">
        <w:rPr>
          <w:rFonts w:ascii="Times New Roman" w:hAnsi="Times New Roman" w:cs="Times New Roman"/>
        </w:rPr>
        <w:t xml:space="preserve">uter symbols denote HPB: circles represent non-HPB, and triangles represent HPB. The accompanying bar chart indicates the proportion of pathogenic species within each phylum in </w:t>
      </w:r>
      <w:r>
        <w:rPr>
          <w:rFonts w:ascii="Times New Roman" w:hAnsi="Times New Roman" w:cs="Times New Roman" w:hint="eastAsia"/>
        </w:rPr>
        <w:t>North America</w:t>
      </w:r>
      <w:r w:rsidRPr="00903245">
        <w:rPr>
          <w:rFonts w:ascii="Times New Roman" w:hAnsi="Times New Roman" w:cs="Times New Roman"/>
        </w:rPr>
        <w:t>.</w:t>
      </w:r>
    </w:p>
    <w:p w14:paraId="6FCE990F" w14:textId="07A02FB8" w:rsidR="00F52BBE" w:rsidRDefault="00AC20EB" w:rsidP="00F52BBE">
      <w:r>
        <w:rPr>
          <w:noProof/>
        </w:rPr>
        <w:drawing>
          <wp:inline distT="0" distB="0" distL="0" distR="0" wp14:anchorId="27534CF6" wp14:editId="6F86EE80">
            <wp:extent cx="5274310" cy="3122295"/>
            <wp:effectExtent l="0" t="0" r="2540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2C165" w14:textId="5DE7AE93" w:rsidR="00F52BBE" w:rsidRDefault="00F52BBE" w:rsidP="00F52BBE">
      <w:pPr>
        <w:rPr>
          <w:rFonts w:ascii="Times New Roman" w:hAnsi="Times New Roman" w:cs="Times New Roman"/>
        </w:rPr>
      </w:pPr>
      <w:r>
        <w:rPr>
          <w:rFonts w:hint="eastAsia"/>
        </w:rPr>
        <w:t xml:space="preserve">Fig. S2. </w:t>
      </w:r>
      <w:r w:rsidRPr="00903245">
        <w:rPr>
          <w:rFonts w:ascii="Times New Roman" w:hAnsi="Times New Roman" w:cs="Times New Roman"/>
        </w:rPr>
        <w:t xml:space="preserve">Circular phylogenetic tree showing the taxonomic classification of ARG-hosting species in </w:t>
      </w:r>
      <w:r>
        <w:rPr>
          <w:rFonts w:ascii="Times New Roman" w:hAnsi="Times New Roman" w:cs="Times New Roman" w:hint="eastAsia"/>
        </w:rPr>
        <w:t>South America</w:t>
      </w:r>
      <w:r w:rsidRPr="00903245">
        <w:rPr>
          <w:rFonts w:ascii="Times New Roman" w:hAnsi="Times New Roman" w:cs="Times New Roman"/>
        </w:rPr>
        <w:t xml:space="preserve">. From the innermost to the outermost rings, the layers represent phylum, class, order, family, genus, and species. </w:t>
      </w:r>
      <w:r>
        <w:rPr>
          <w:rFonts w:ascii="Times New Roman" w:hAnsi="Times New Roman" w:cs="Times New Roman" w:hint="eastAsia"/>
        </w:rPr>
        <w:t>The c</w:t>
      </w:r>
      <w:r w:rsidRPr="00903245">
        <w:rPr>
          <w:rFonts w:ascii="Times New Roman" w:hAnsi="Times New Roman" w:cs="Times New Roman"/>
        </w:rPr>
        <w:t xml:space="preserve">olors of the lines and nodes indicate different phyla. </w:t>
      </w:r>
      <w:r>
        <w:rPr>
          <w:rFonts w:ascii="Times New Roman" w:hAnsi="Times New Roman" w:cs="Times New Roman" w:hint="eastAsia"/>
        </w:rPr>
        <w:t>The o</w:t>
      </w:r>
      <w:r w:rsidRPr="00903245">
        <w:rPr>
          <w:rFonts w:ascii="Times New Roman" w:hAnsi="Times New Roman" w:cs="Times New Roman"/>
        </w:rPr>
        <w:t xml:space="preserve">uter symbols denote HPB: circles represent non-HPB, and triangles represent HPB. The accompanying bar chart indicates the proportion of pathogenic species within each phylum in </w:t>
      </w:r>
      <w:r>
        <w:rPr>
          <w:rFonts w:ascii="Times New Roman" w:hAnsi="Times New Roman" w:cs="Times New Roman" w:hint="eastAsia"/>
        </w:rPr>
        <w:t>South America</w:t>
      </w:r>
      <w:r w:rsidRPr="00903245">
        <w:rPr>
          <w:rFonts w:ascii="Times New Roman" w:hAnsi="Times New Roman" w:cs="Times New Roman"/>
        </w:rPr>
        <w:t>.</w:t>
      </w:r>
    </w:p>
    <w:p w14:paraId="6100D0FF" w14:textId="7ADDB287" w:rsidR="00F52BBE" w:rsidRDefault="00AC20EB" w:rsidP="00F52BBE">
      <w:r>
        <w:rPr>
          <w:noProof/>
        </w:rPr>
        <w:lastRenderedPageBreak/>
        <w:drawing>
          <wp:inline distT="0" distB="0" distL="0" distR="0" wp14:anchorId="2616E1BA" wp14:editId="333E5424">
            <wp:extent cx="5274310" cy="290131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0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5EAB6A" w14:textId="146E6D4F" w:rsidR="00F52BBE" w:rsidRDefault="00F52BBE" w:rsidP="00F52BBE">
      <w:pPr>
        <w:rPr>
          <w:rFonts w:ascii="Times New Roman" w:hAnsi="Times New Roman" w:cs="Times New Roman"/>
        </w:rPr>
      </w:pPr>
      <w:r>
        <w:rPr>
          <w:rFonts w:hint="eastAsia"/>
        </w:rPr>
        <w:t xml:space="preserve">Fig. S3. </w:t>
      </w:r>
      <w:r w:rsidRPr="00903245">
        <w:rPr>
          <w:rFonts w:ascii="Times New Roman" w:hAnsi="Times New Roman" w:cs="Times New Roman"/>
        </w:rPr>
        <w:t xml:space="preserve">Circular phylogenetic tree showing the taxonomic classification of ARG-hosting species in </w:t>
      </w:r>
      <w:r>
        <w:rPr>
          <w:rFonts w:ascii="Times New Roman" w:hAnsi="Times New Roman" w:cs="Times New Roman" w:hint="eastAsia"/>
        </w:rPr>
        <w:t>Africa</w:t>
      </w:r>
      <w:r w:rsidRPr="00903245">
        <w:rPr>
          <w:rFonts w:ascii="Times New Roman" w:hAnsi="Times New Roman" w:cs="Times New Roman"/>
        </w:rPr>
        <w:t xml:space="preserve">. From the innermost to the outermost rings, the layers represent phylum, class, order, family, genus, and species. </w:t>
      </w:r>
      <w:r>
        <w:rPr>
          <w:rFonts w:ascii="Times New Roman" w:hAnsi="Times New Roman" w:cs="Times New Roman" w:hint="eastAsia"/>
        </w:rPr>
        <w:t>The c</w:t>
      </w:r>
      <w:r w:rsidRPr="00903245">
        <w:rPr>
          <w:rFonts w:ascii="Times New Roman" w:hAnsi="Times New Roman" w:cs="Times New Roman"/>
        </w:rPr>
        <w:t xml:space="preserve">olors of the lines and nodes indicate different phyla. </w:t>
      </w:r>
      <w:r>
        <w:rPr>
          <w:rFonts w:ascii="Times New Roman" w:hAnsi="Times New Roman" w:cs="Times New Roman" w:hint="eastAsia"/>
        </w:rPr>
        <w:t>The o</w:t>
      </w:r>
      <w:r w:rsidRPr="00903245">
        <w:rPr>
          <w:rFonts w:ascii="Times New Roman" w:hAnsi="Times New Roman" w:cs="Times New Roman"/>
        </w:rPr>
        <w:t xml:space="preserve">uter symbols denote </w:t>
      </w:r>
      <w:r>
        <w:rPr>
          <w:rFonts w:ascii="Times New Roman" w:hAnsi="Times New Roman" w:cs="Times New Roman" w:hint="eastAsia"/>
        </w:rPr>
        <w:t>h</w:t>
      </w:r>
      <w:r w:rsidRPr="00903245">
        <w:rPr>
          <w:rFonts w:ascii="Times New Roman" w:hAnsi="Times New Roman" w:cs="Times New Roman"/>
        </w:rPr>
        <w:t xml:space="preserve">uman </w:t>
      </w:r>
      <w:r>
        <w:rPr>
          <w:rFonts w:ascii="Times New Roman" w:hAnsi="Times New Roman" w:cs="Times New Roman" w:hint="eastAsia"/>
        </w:rPr>
        <w:t>p</w:t>
      </w:r>
      <w:r w:rsidRPr="00903245">
        <w:rPr>
          <w:rFonts w:ascii="Times New Roman" w:hAnsi="Times New Roman" w:cs="Times New Roman"/>
        </w:rPr>
        <w:t xml:space="preserve">athogenic </w:t>
      </w:r>
      <w:r>
        <w:rPr>
          <w:rFonts w:ascii="Times New Roman" w:hAnsi="Times New Roman" w:cs="Times New Roman" w:hint="eastAsia"/>
        </w:rPr>
        <w:t>b</w:t>
      </w:r>
      <w:r w:rsidRPr="00903245">
        <w:rPr>
          <w:rFonts w:ascii="Times New Roman" w:hAnsi="Times New Roman" w:cs="Times New Roman"/>
        </w:rPr>
        <w:t xml:space="preserve">acteria (HPB): circles represent non-HPB, and triangles represent HPB. The accompanying bar chart indicates the proportion of pathogenic species within each phylum in </w:t>
      </w:r>
      <w:r>
        <w:rPr>
          <w:rFonts w:ascii="Times New Roman" w:hAnsi="Times New Roman" w:cs="Times New Roman" w:hint="eastAsia"/>
        </w:rPr>
        <w:t>Africa</w:t>
      </w:r>
      <w:r w:rsidRPr="00903245">
        <w:rPr>
          <w:rFonts w:ascii="Times New Roman" w:hAnsi="Times New Roman" w:cs="Times New Roman"/>
        </w:rPr>
        <w:t>.</w:t>
      </w:r>
    </w:p>
    <w:p w14:paraId="00CE0C29" w14:textId="77777777" w:rsidR="004552DB" w:rsidRPr="00F52BBE" w:rsidRDefault="004552DB"/>
    <w:p w14:paraId="7B782691" w14:textId="50ADE03D" w:rsidR="004552DB" w:rsidRDefault="00AC20EB">
      <w:r>
        <w:rPr>
          <w:noProof/>
        </w:rPr>
        <w:drawing>
          <wp:inline distT="0" distB="0" distL="0" distR="0" wp14:anchorId="3980584E" wp14:editId="61932A82">
            <wp:extent cx="5274310" cy="301371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1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6E540" w14:textId="52608CFD" w:rsidR="004552DB" w:rsidRDefault="004552DB" w:rsidP="004552DB">
      <w:pPr>
        <w:rPr>
          <w:rFonts w:ascii="Times New Roman" w:hAnsi="Times New Roman" w:cs="Times New Roman"/>
        </w:rPr>
      </w:pPr>
      <w:r>
        <w:rPr>
          <w:rFonts w:hint="eastAsia"/>
        </w:rPr>
        <w:t>Fig.</w:t>
      </w:r>
      <w:r w:rsidR="00F52BBE">
        <w:rPr>
          <w:rFonts w:hint="eastAsia"/>
        </w:rPr>
        <w:t xml:space="preserve"> </w:t>
      </w:r>
      <w:r>
        <w:rPr>
          <w:rFonts w:hint="eastAsia"/>
        </w:rPr>
        <w:t>S</w:t>
      </w:r>
      <w:r w:rsidR="00F52BBE">
        <w:rPr>
          <w:rFonts w:hint="eastAsia"/>
        </w:rPr>
        <w:t>4</w:t>
      </w:r>
      <w:r w:rsidR="008E48CC">
        <w:rPr>
          <w:rFonts w:hint="eastAsia"/>
        </w:rPr>
        <w:t>.</w:t>
      </w:r>
      <w:r>
        <w:rPr>
          <w:rFonts w:hint="eastAsia"/>
        </w:rPr>
        <w:t xml:space="preserve"> </w:t>
      </w:r>
      <w:r w:rsidRPr="00903245">
        <w:rPr>
          <w:rFonts w:ascii="Times New Roman" w:hAnsi="Times New Roman" w:cs="Times New Roman"/>
        </w:rPr>
        <w:t xml:space="preserve">Circular phylogenetic tree showing the taxonomic classification of ARG-hosting species in </w:t>
      </w:r>
      <w:r>
        <w:rPr>
          <w:rFonts w:ascii="Times New Roman" w:hAnsi="Times New Roman" w:cs="Times New Roman" w:hint="eastAsia"/>
        </w:rPr>
        <w:t>Oceania</w:t>
      </w:r>
      <w:r w:rsidRPr="00903245">
        <w:rPr>
          <w:rFonts w:ascii="Times New Roman" w:hAnsi="Times New Roman" w:cs="Times New Roman"/>
        </w:rPr>
        <w:t xml:space="preserve">. From the innermost to the outermost rings, the layers represent phylum, class, order, family, genus, and species. </w:t>
      </w:r>
      <w:r>
        <w:rPr>
          <w:rFonts w:ascii="Times New Roman" w:hAnsi="Times New Roman" w:cs="Times New Roman" w:hint="eastAsia"/>
        </w:rPr>
        <w:t>The c</w:t>
      </w:r>
      <w:r w:rsidRPr="00903245">
        <w:rPr>
          <w:rFonts w:ascii="Times New Roman" w:hAnsi="Times New Roman" w:cs="Times New Roman"/>
        </w:rPr>
        <w:t xml:space="preserve">olors of the lines and nodes indicate different phyla. </w:t>
      </w:r>
      <w:r>
        <w:rPr>
          <w:rFonts w:ascii="Times New Roman" w:hAnsi="Times New Roman" w:cs="Times New Roman" w:hint="eastAsia"/>
        </w:rPr>
        <w:t>The o</w:t>
      </w:r>
      <w:r w:rsidRPr="00903245">
        <w:rPr>
          <w:rFonts w:ascii="Times New Roman" w:hAnsi="Times New Roman" w:cs="Times New Roman"/>
        </w:rPr>
        <w:t xml:space="preserve">uter symbols denote HPB: circles represent non-HPB, and triangles represent HPB. The accompanying bar chart indicates the proportion of pathogenic species within each phylum in </w:t>
      </w:r>
      <w:r>
        <w:rPr>
          <w:rFonts w:ascii="Times New Roman" w:hAnsi="Times New Roman" w:cs="Times New Roman" w:hint="eastAsia"/>
        </w:rPr>
        <w:t>Oceania</w:t>
      </w:r>
      <w:r w:rsidRPr="00903245">
        <w:rPr>
          <w:rFonts w:ascii="Times New Roman" w:hAnsi="Times New Roman" w:cs="Times New Roman"/>
        </w:rPr>
        <w:t>.</w:t>
      </w:r>
    </w:p>
    <w:p w14:paraId="1055B81F" w14:textId="77777777" w:rsidR="004552DB" w:rsidRDefault="004552DB" w:rsidP="004552DB"/>
    <w:p w14:paraId="78A0D35A" w14:textId="10A25FC2" w:rsidR="004552DB" w:rsidRDefault="004552DB">
      <w:r>
        <w:rPr>
          <w:noProof/>
        </w:rPr>
        <w:lastRenderedPageBreak/>
        <w:drawing>
          <wp:inline distT="0" distB="0" distL="0" distR="0" wp14:anchorId="40406247" wp14:editId="2C10B028">
            <wp:extent cx="5274310" cy="5495925"/>
            <wp:effectExtent l="0" t="0" r="2540" b="9525"/>
            <wp:docPr id="300430808" name="图片 1" descr="墙上挂着一幅画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430808" name="图片 1" descr="墙上挂着一幅画&#10;&#10;AI 生成的内容可能不正确。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49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87902" w14:textId="12716D27" w:rsidR="004552DB" w:rsidRDefault="004552DB" w:rsidP="004552DB">
      <w:pPr>
        <w:rPr>
          <w:rFonts w:ascii="Times New Roman" w:hAnsi="Times New Roman" w:cs="Times New Roman"/>
        </w:rPr>
      </w:pPr>
      <w:r>
        <w:rPr>
          <w:rFonts w:hint="eastAsia"/>
        </w:rPr>
        <w:t xml:space="preserve">Fig. S5 </w:t>
      </w:r>
      <w:r w:rsidR="008E48CC" w:rsidRPr="008E48CC">
        <w:rPr>
          <w:rFonts w:hint="eastAsia"/>
        </w:rPr>
        <w:t>Similarity</w:t>
      </w:r>
      <w:r w:rsidR="008E48CC">
        <w:rPr>
          <w:rFonts w:hint="eastAsia"/>
        </w:rPr>
        <w:t>-b</w:t>
      </w:r>
      <w:r w:rsidR="008E48CC" w:rsidRPr="008E48CC">
        <w:rPr>
          <w:rFonts w:hint="eastAsia"/>
        </w:rPr>
        <w:t xml:space="preserve">ased </w:t>
      </w:r>
      <w:r w:rsidR="008E48CC">
        <w:rPr>
          <w:rFonts w:hint="eastAsia"/>
        </w:rPr>
        <w:t>n</w:t>
      </w:r>
      <w:r w:rsidR="008E48CC" w:rsidRPr="008E48CC">
        <w:rPr>
          <w:rFonts w:hint="eastAsia"/>
        </w:rPr>
        <w:t xml:space="preserve">etwork of </w:t>
      </w:r>
      <w:r w:rsidR="008E48CC">
        <w:rPr>
          <w:rFonts w:hint="eastAsia"/>
        </w:rPr>
        <w:t>p</w:t>
      </w:r>
      <w:r w:rsidR="008E48CC" w:rsidRPr="008E48CC">
        <w:rPr>
          <w:rFonts w:hint="eastAsia"/>
        </w:rPr>
        <w:t>otential ARGs in Africa</w:t>
      </w:r>
      <w:r w:rsidR="008E48CC">
        <w:rPr>
          <w:rFonts w:hint="eastAsia"/>
        </w:rPr>
        <w:t>.</w:t>
      </w:r>
    </w:p>
    <w:p w14:paraId="700D74D8" w14:textId="77777777" w:rsidR="004552DB" w:rsidRPr="004552DB" w:rsidRDefault="004552DB"/>
    <w:sectPr w:rsidR="004552DB" w:rsidRPr="004552D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A5D380" w14:textId="77777777" w:rsidR="00753E3F" w:rsidRDefault="00753E3F" w:rsidP="004552DB">
      <w:r>
        <w:separator/>
      </w:r>
    </w:p>
  </w:endnote>
  <w:endnote w:type="continuationSeparator" w:id="0">
    <w:p w14:paraId="45DB7CD3" w14:textId="77777777" w:rsidR="00753E3F" w:rsidRDefault="00753E3F" w:rsidP="004552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DAB99A" w14:textId="77777777" w:rsidR="00753E3F" w:rsidRDefault="00753E3F" w:rsidP="004552DB">
      <w:r>
        <w:separator/>
      </w:r>
    </w:p>
  </w:footnote>
  <w:footnote w:type="continuationSeparator" w:id="0">
    <w:p w14:paraId="7F29C80B" w14:textId="77777777" w:rsidR="00753E3F" w:rsidRDefault="00753E3F" w:rsidP="004552D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4EC6"/>
    <w:rsid w:val="00210079"/>
    <w:rsid w:val="00432EB0"/>
    <w:rsid w:val="004552DB"/>
    <w:rsid w:val="00584D12"/>
    <w:rsid w:val="005F75E4"/>
    <w:rsid w:val="0063646F"/>
    <w:rsid w:val="00743E45"/>
    <w:rsid w:val="00753E3F"/>
    <w:rsid w:val="008E48CC"/>
    <w:rsid w:val="00987CB4"/>
    <w:rsid w:val="009B2A79"/>
    <w:rsid w:val="00AC20EB"/>
    <w:rsid w:val="00AD12A6"/>
    <w:rsid w:val="00B27B1A"/>
    <w:rsid w:val="00C54EC6"/>
    <w:rsid w:val="00D54F34"/>
    <w:rsid w:val="00F00112"/>
    <w:rsid w:val="00F52BBE"/>
    <w:rsid w:val="00FC072E"/>
    <w:rsid w:val="00FF2D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258597F"/>
  <w15:chartTrackingRefBased/>
  <w15:docId w15:val="{9ECA6C1D-6060-41A5-9017-B9F3C8DDCA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C54EC6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54EC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54EC6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54EC6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54EC6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54EC6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54EC6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54EC6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54EC6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C54EC6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C54EC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C54EC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C54EC6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C54EC6"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C54EC6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C54EC6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C54EC6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C54EC6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C54EC6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C54EC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C54EC6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C54EC6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C54EC6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C54EC6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C54EC6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C54EC6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C54EC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C54EC6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C54EC6"/>
    <w:rPr>
      <w:b/>
      <w:bCs/>
      <w:smallCaps/>
      <w:color w:val="0F4761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4552DB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4552DB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4552D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4552D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4</Pages>
  <Words>333</Words>
  <Characters>1900</Characters>
  <Application>Microsoft Office Word</Application>
  <DocSecurity>0</DocSecurity>
  <Lines>15</Lines>
  <Paragraphs>4</Paragraphs>
  <ScaleCrop>false</ScaleCrop>
  <Company/>
  <LinksUpToDate>false</LinksUpToDate>
  <CharactersWithSpaces>2229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陈颉 王</dc:creator>
  <cp:keywords/>
  <dc:description/>
  <cp:lastModifiedBy>office user</cp:lastModifiedBy>
  <cp:revision>5</cp:revision>
  <dcterms:created xsi:type="dcterms:W3CDTF">2025-07-09T18:14:00Z</dcterms:created>
  <dcterms:modified xsi:type="dcterms:W3CDTF">2025-10-28T23:16:00Z</dcterms:modified>
</cp:coreProperties>
</file>