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16C2C3">
      <w:pPr>
        <w:rPr>
          <w:rFonts w:hint="eastAsia" w:eastAsiaTheme="minorEastAsia"/>
          <w:lang w:eastAsia="zh-CN"/>
        </w:rPr>
      </w:pPr>
      <w: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/>
          <w:lang w:eastAsia="zh-CN"/>
        </w:rPr>
        <w:instrText xml:space="preserve">ADDIN CNKISM.UserStyle</w:instrText>
      </w:r>
      <w:r>
        <w:fldChar w:fldCharType="separate"/>
      </w:r>
      <w:r>
        <w:fldChar w:fldCharType="end"/>
      </w:r>
    </w:p>
    <w:tbl>
      <w:tblPr>
        <w:tblStyle w:val="5"/>
        <w:tblW w:w="1082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960"/>
        <w:gridCol w:w="1520"/>
        <w:gridCol w:w="1220"/>
        <w:gridCol w:w="3480"/>
        <w:gridCol w:w="2320"/>
      </w:tblGrid>
      <w:tr w14:paraId="24FD0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8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6A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Supplementary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Table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 w:bidi="ar"/>
              </w:rPr>
              <w:t>1：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Interpretation and Processing of Quantitative Urine Culture Results</w:t>
            </w:r>
          </w:p>
        </w:tc>
      </w:tr>
      <w:tr w14:paraId="01182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EB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Specimen Type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1A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Urine WBC (Count or Esterase)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06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Number of Bacterial Species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39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Bacterial Count (CFU/mL)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13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Interpretation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1C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Processing</w:t>
            </w:r>
          </w:p>
        </w:tc>
      </w:tr>
      <w:tr w14:paraId="6E57C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6F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Clean midstream urine sample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91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Elevated or Positive</w:t>
            </w:r>
          </w:p>
        </w:tc>
        <w:tc>
          <w:tcPr>
            <w:tcW w:w="15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CD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Single species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6D6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≥10⁵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F1B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Usually considered a pathogen.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26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Identification + Susceptibility testing</w:t>
            </w:r>
          </w:p>
        </w:tc>
      </w:tr>
      <w:tr w14:paraId="50612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9FE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425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673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D8B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10⁴ ~ 10⁵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C140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May be a pathogen.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ount ≥10⁴ may be significant in patients with acute pyelonephritis.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FE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Identification + Susceptibility testing</w:t>
            </w:r>
          </w:p>
        </w:tc>
      </w:tr>
      <w:tr w14:paraId="5CD99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79AA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8AB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242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9D4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&lt;10⁴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DAA4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Usually considered colonizing bacteria. However, for Staphylococcus saprophyticus in women, a count ≥10³ may be considered a pathogen.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C1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Identification only</w:t>
            </w:r>
          </w:p>
        </w:tc>
      </w:tr>
      <w:tr w14:paraId="1BF3C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800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B9E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A2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Two species (A+B)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5AF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 ≥10⁵; B ≥10⁵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19E1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Both A and B are considered pathogens.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68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Identification + Susceptibility testing</w:t>
            </w:r>
          </w:p>
        </w:tc>
      </w:tr>
      <w:tr w14:paraId="218BA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6C03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4AB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F2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Two species (A+B)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B7D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 ≥ 10⁵; B &lt; 10</w:t>
            </w:r>
            <w:bookmarkStart w:id="2" w:name="_GoBack"/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vertAlign w:val="superscript"/>
                <w:lang w:val="en-US" w:eastAsia="zh-CN" w:bidi="ar"/>
              </w:rPr>
              <w:t>4</w:t>
            </w:r>
            <w:bookmarkEnd w:id="2"/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1E6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Species A is considered a pathogen; Species B is considered a colonizing bacteria.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5BF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A: Identification + Susceptibility testing   B:Identification only</w:t>
            </w:r>
          </w:p>
        </w:tc>
      </w:tr>
      <w:tr w14:paraId="594CE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739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567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90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≥ 3 species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10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Variable / Indeterminate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87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Usually considered a colonizing bacteria.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DA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Recommend recollection of specimen.</w:t>
            </w:r>
          </w:p>
        </w:tc>
      </w:tr>
      <w:tr w14:paraId="60F63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530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949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6C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No bacterial growth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D8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No growth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10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 Bacterial growth may be suppressed by prior antimicrobial therapy.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 Possible infection with slow-growing or fastidious pathogens (e.g.,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Mycobacterium tuberculosis, Chlamydia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).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 Non-infectious inflammation.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9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Not applicable.</w:t>
            </w:r>
          </w:p>
        </w:tc>
      </w:tr>
      <w:tr w14:paraId="690E8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C85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68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Negative</w:t>
            </w:r>
          </w:p>
        </w:tc>
        <w:tc>
          <w:tcPr>
            <w:tcW w:w="15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D4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1-2 species</w:t>
            </w:r>
          </w:p>
        </w:tc>
        <w:tc>
          <w:tcPr>
            <w:tcW w:w="12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9D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≥10⁴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0E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Possible colonizing bacteria.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00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Identification.</w:t>
            </w:r>
          </w:p>
        </w:tc>
      </w:tr>
      <w:tr w14:paraId="1FD8C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649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36C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7DC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E74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03C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UTI in immunocompromised hosts (e.g., neutropenic).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B4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Identification + Susceptibility testing.</w:t>
            </w:r>
          </w:p>
        </w:tc>
      </w:tr>
      <w:tr w14:paraId="7DB1A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9E1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D69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3FE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B85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0B7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High suspicion of infection in immunocompetent patients.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927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Identification + Susceptibility testing.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Repeat testing of urine for WBC and leukocyte esterase is recommended.</w:t>
            </w:r>
          </w:p>
        </w:tc>
      </w:tr>
      <w:tr w14:paraId="66652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8EF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9EE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E9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≥ 3 species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E9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Variable / Indeterminate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25D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Usually considered a colonizing bacteria.</w:t>
            </w:r>
          </w:p>
        </w:tc>
        <w:tc>
          <w:tcPr>
            <w:tcW w:w="2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E67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Recommend recollection of specimen.</w:t>
            </w:r>
          </w:p>
        </w:tc>
      </w:tr>
    </w:tbl>
    <w:p w14:paraId="0C795F2A">
      <w:r>
        <w:br w:type="page"/>
      </w:r>
    </w:p>
    <w:tbl>
      <w:tblPr>
        <w:tblStyle w:val="5"/>
        <w:tblW w:w="10715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3"/>
        <w:gridCol w:w="1202"/>
        <w:gridCol w:w="1066"/>
        <w:gridCol w:w="210"/>
        <w:gridCol w:w="1276"/>
        <w:gridCol w:w="782"/>
        <w:gridCol w:w="1202"/>
        <w:gridCol w:w="1276"/>
        <w:gridCol w:w="1276"/>
        <w:gridCol w:w="782"/>
      </w:tblGrid>
      <w:tr w14:paraId="7A874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715" w:type="dxa"/>
            <w:gridSpan w:val="10"/>
            <w:shd w:val="clear" w:color="auto" w:fill="auto"/>
            <w:noWrap/>
            <w:vAlign w:val="center"/>
          </w:tcPr>
          <w:p w14:paraId="51B286E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Supplementary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Table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 w:bidi="ar"/>
              </w:rPr>
              <w:t>2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: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Drug resistance of common Gram-negative bacteria</w:t>
            </w:r>
          </w:p>
        </w:tc>
      </w:tr>
      <w:tr w14:paraId="5728B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43" w:type="dxa"/>
            <w:vMerge w:val="restart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2A5D6ACB">
            <w:pPr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Antibacterial drugs</w:t>
            </w:r>
          </w:p>
        </w:tc>
        <w:tc>
          <w:tcPr>
            <w:tcW w:w="4536" w:type="dxa"/>
            <w:gridSpan w:val="5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638D458F">
            <w:pPr>
              <w:widowControl/>
              <w:numPr>
                <w:ilvl w:val="0"/>
                <w:numId w:val="1"/>
              </w:numPr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lang w:bidi="ar"/>
              </w:rPr>
              <w:t>coli</w:t>
            </w:r>
          </w:p>
        </w:tc>
        <w:tc>
          <w:tcPr>
            <w:tcW w:w="4536" w:type="dxa"/>
            <w:gridSpan w:val="4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458568E9">
            <w:pPr>
              <w:widowControl/>
              <w:numPr>
                <w:ilvl w:val="0"/>
                <w:numId w:val="2"/>
              </w:numPr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lang w:bidi="ar"/>
              </w:rPr>
              <w:t>pneumoniae</w:t>
            </w:r>
          </w:p>
        </w:tc>
      </w:tr>
      <w:tr w14:paraId="6917A4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43" w:type="dxa"/>
            <w:vMerge w:val="continue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52558531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0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5B1FE5D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BC-19(n=314)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93F041D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DC-19(n=997)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E44A3A5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AC-19(n=422)</w:t>
            </w:r>
          </w:p>
        </w:tc>
        <w:tc>
          <w:tcPr>
            <w:tcW w:w="78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B2B0364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i/>
                <w:color w:val="000000"/>
                <w:kern w:val="0"/>
                <w:sz w:val="16"/>
                <w:szCs w:val="16"/>
                <w:lang w:bidi="ar"/>
              </w:rPr>
              <w:t xml:space="preserve">P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value</w:t>
            </w:r>
          </w:p>
        </w:tc>
        <w:tc>
          <w:tcPr>
            <w:tcW w:w="120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304BB7D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BC-19(n=32)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C80B46D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DC-19(n=93)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5D2912E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AC-19(n=52)</w:t>
            </w:r>
          </w:p>
        </w:tc>
        <w:tc>
          <w:tcPr>
            <w:tcW w:w="78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38814CF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i/>
                <w:color w:val="000000"/>
                <w:kern w:val="0"/>
                <w:sz w:val="16"/>
                <w:szCs w:val="16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value</w:t>
            </w:r>
          </w:p>
        </w:tc>
      </w:tr>
      <w:tr w14:paraId="5B02B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43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1004392F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Ampicillin</w:t>
            </w:r>
          </w:p>
        </w:tc>
        <w:tc>
          <w:tcPr>
            <w:tcW w:w="1202" w:type="dxa"/>
            <w:tcBorders>
              <w:top w:val="single" w:color="auto" w:sz="4" w:space="0"/>
            </w:tcBorders>
            <w:shd w:val="clear" w:color="auto" w:fill="FFFFFF"/>
            <w:noWrap/>
            <w:vAlign w:val="center"/>
          </w:tcPr>
          <w:p w14:paraId="7373E2A8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82.48%</w:t>
            </w:r>
          </w:p>
        </w:tc>
        <w:tc>
          <w:tcPr>
            <w:tcW w:w="1066" w:type="dxa"/>
            <w:tcBorders>
              <w:top w:val="single" w:color="auto" w:sz="4" w:space="0"/>
            </w:tcBorders>
            <w:shd w:val="clear" w:color="auto" w:fill="FFFFFF"/>
            <w:noWrap/>
            <w:vAlign w:val="center"/>
          </w:tcPr>
          <w:p w14:paraId="1D2D07A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86.06%</w:t>
            </w:r>
          </w:p>
        </w:tc>
        <w:tc>
          <w:tcPr>
            <w:tcW w:w="1486" w:type="dxa"/>
            <w:gridSpan w:val="2"/>
            <w:tcBorders>
              <w:top w:val="single" w:color="auto" w:sz="4" w:space="0"/>
            </w:tcBorders>
            <w:shd w:val="clear" w:color="auto" w:fill="FFFFFF"/>
            <w:noWrap/>
            <w:vAlign w:val="center"/>
          </w:tcPr>
          <w:p w14:paraId="52D0774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78.44%</w:t>
            </w:r>
          </w:p>
        </w:tc>
        <w:tc>
          <w:tcPr>
            <w:tcW w:w="782" w:type="dxa"/>
            <w:tcBorders>
              <w:top w:val="single" w:color="auto" w:sz="4" w:space="0"/>
            </w:tcBorders>
            <w:shd w:val="clear" w:color="auto" w:fill="FFFFFF"/>
            <w:noWrap/>
            <w:vAlign w:val="center"/>
          </w:tcPr>
          <w:p w14:paraId="21A1764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0.338</w:t>
            </w:r>
          </w:p>
        </w:tc>
        <w:tc>
          <w:tcPr>
            <w:tcW w:w="1202" w:type="dxa"/>
            <w:tcBorders>
              <w:top w:val="single" w:color="auto" w:sz="4" w:space="0"/>
            </w:tcBorders>
            <w:shd w:val="clear" w:color="auto" w:fill="FFFFFF"/>
            <w:noWrap/>
            <w:vAlign w:val="center"/>
          </w:tcPr>
          <w:p w14:paraId="4E3D988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/</w:t>
            </w:r>
          </w:p>
        </w:tc>
        <w:tc>
          <w:tcPr>
            <w:tcW w:w="1276" w:type="dxa"/>
            <w:tcBorders>
              <w:top w:val="single" w:color="auto" w:sz="4" w:space="0"/>
            </w:tcBorders>
            <w:shd w:val="clear" w:color="auto" w:fill="FFFFFF"/>
            <w:noWrap/>
            <w:vAlign w:val="center"/>
          </w:tcPr>
          <w:p w14:paraId="30E895E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/</w:t>
            </w:r>
          </w:p>
        </w:tc>
        <w:tc>
          <w:tcPr>
            <w:tcW w:w="1276" w:type="dxa"/>
            <w:tcBorders>
              <w:top w:val="single" w:color="auto" w:sz="4" w:space="0"/>
            </w:tcBorders>
            <w:shd w:val="clear" w:color="auto" w:fill="FFFFFF"/>
            <w:noWrap/>
            <w:vAlign w:val="center"/>
          </w:tcPr>
          <w:p w14:paraId="078B1B6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/</w:t>
            </w:r>
          </w:p>
        </w:tc>
        <w:tc>
          <w:tcPr>
            <w:tcW w:w="782" w:type="dxa"/>
            <w:tcBorders>
              <w:top w:val="single" w:color="auto" w:sz="4" w:space="0"/>
            </w:tcBorders>
            <w:shd w:val="clear" w:color="auto" w:fill="FFFFFF"/>
            <w:noWrap/>
            <w:vAlign w:val="center"/>
          </w:tcPr>
          <w:p w14:paraId="4EDA80A3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/</w:t>
            </w:r>
          </w:p>
        </w:tc>
      </w:tr>
      <w:tr w14:paraId="61389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43" w:type="dxa"/>
            <w:shd w:val="clear" w:color="auto" w:fill="FFFFFF"/>
            <w:vAlign w:val="center"/>
          </w:tcPr>
          <w:p w14:paraId="3AE0C504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Ciprofloxacin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108A1A01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51.27%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14:paraId="490B551C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47.84%</w:t>
            </w:r>
          </w:p>
        </w:tc>
        <w:tc>
          <w:tcPr>
            <w:tcW w:w="1486" w:type="dxa"/>
            <w:gridSpan w:val="2"/>
            <w:shd w:val="clear" w:color="auto" w:fill="FFFFFF"/>
            <w:noWrap/>
            <w:vAlign w:val="center"/>
          </w:tcPr>
          <w:p w14:paraId="691ADF2C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49.05%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61056A1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0.911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051EE0E5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34.38%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1485673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35.48%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0535E23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25.00%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798AA0A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0.244</w:t>
            </w:r>
          </w:p>
        </w:tc>
      </w:tr>
      <w:tr w14:paraId="3DE77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43" w:type="dxa"/>
            <w:shd w:val="clear" w:color="auto" w:fill="FFFFFF"/>
            <w:vAlign w:val="center"/>
          </w:tcPr>
          <w:p w14:paraId="789A7D0C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Gentamicin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351F6A9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39.49%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14:paraId="2E02DAE6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31.09%</w:t>
            </w:r>
          </w:p>
        </w:tc>
        <w:tc>
          <w:tcPr>
            <w:tcW w:w="1486" w:type="dxa"/>
            <w:gridSpan w:val="2"/>
            <w:shd w:val="clear" w:color="auto" w:fill="FFFFFF"/>
            <w:noWrap/>
            <w:vAlign w:val="center"/>
          </w:tcPr>
          <w:p w14:paraId="53064B78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28.20%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35E03221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0.230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0268C938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18.75%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31EFB538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26.88%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0BC7FBF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25.00%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40E09601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0.383</w:t>
            </w:r>
          </w:p>
        </w:tc>
      </w:tr>
      <w:tr w14:paraId="21A5B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43" w:type="dxa"/>
            <w:shd w:val="clear" w:color="auto" w:fill="FFFFFF"/>
            <w:vAlign w:val="center"/>
          </w:tcPr>
          <w:p w14:paraId="09F51C06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Nitrof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urantoin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110D8918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0.00%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14:paraId="2B9BF5C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0.50%</w:t>
            </w:r>
          </w:p>
        </w:tc>
        <w:tc>
          <w:tcPr>
            <w:tcW w:w="1486" w:type="dxa"/>
            <w:gridSpan w:val="2"/>
            <w:shd w:val="clear" w:color="auto" w:fill="FFFFFF"/>
            <w:noWrap/>
            <w:vAlign w:val="center"/>
          </w:tcPr>
          <w:p w14:paraId="61ACE2D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2.61%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6009A183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0.168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6FE6FA01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28.13%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2535DAB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15.05%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266C186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21.15%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3EB35D2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0.080</w:t>
            </w:r>
          </w:p>
        </w:tc>
      </w:tr>
      <w:tr w14:paraId="24622F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43" w:type="dxa"/>
            <w:shd w:val="clear" w:color="auto" w:fill="FFFFFF"/>
            <w:vAlign w:val="center"/>
          </w:tcPr>
          <w:p w14:paraId="52927503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Tobramycin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0F4D76B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28.66%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14:paraId="7398219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20.06%</w:t>
            </w:r>
          </w:p>
        </w:tc>
        <w:tc>
          <w:tcPr>
            <w:tcW w:w="1486" w:type="dxa"/>
            <w:gridSpan w:val="2"/>
            <w:shd w:val="clear" w:color="auto" w:fill="FFFFFF"/>
            <w:noWrap/>
            <w:vAlign w:val="center"/>
          </w:tcPr>
          <w:p w14:paraId="07D4CE6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15.40%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2D6B49FC">
            <w:pPr>
              <w:widowControl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49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7B30A6D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9.38%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200F799C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19.35%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47F514C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11.54%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68022C13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0.102</w:t>
            </w:r>
          </w:p>
        </w:tc>
      </w:tr>
      <w:tr w14:paraId="5FE07A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43" w:type="dxa"/>
            <w:shd w:val="clear" w:color="auto" w:fill="FFFFFF"/>
            <w:vAlign w:val="center"/>
          </w:tcPr>
          <w:p w14:paraId="036F8568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rimethoprim/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ulfamethoxazole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5694AD4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51.59%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14:paraId="1930197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44.93%</w:t>
            </w:r>
          </w:p>
        </w:tc>
        <w:tc>
          <w:tcPr>
            <w:tcW w:w="1486" w:type="dxa"/>
            <w:gridSpan w:val="2"/>
            <w:shd w:val="clear" w:color="auto" w:fill="FFFFFF"/>
            <w:noWrap/>
            <w:vAlign w:val="center"/>
          </w:tcPr>
          <w:p w14:paraId="033CDC8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36.97%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2723A50C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0.102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0DE5B231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31.25%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0367166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49.36%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5824E95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28.85%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22171C2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0.005</w:t>
            </w:r>
          </w:p>
        </w:tc>
      </w:tr>
      <w:tr w14:paraId="7D1FC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43" w:type="dxa"/>
            <w:shd w:val="clear" w:color="auto" w:fill="FFFFFF"/>
            <w:vAlign w:val="center"/>
          </w:tcPr>
          <w:p w14:paraId="3BD4AF23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Ampicillin/Sulbactam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5943EC2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41.72%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14:paraId="121BA71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37.81%</w:t>
            </w:r>
          </w:p>
        </w:tc>
        <w:tc>
          <w:tcPr>
            <w:tcW w:w="1486" w:type="dxa"/>
            <w:gridSpan w:val="2"/>
            <w:shd w:val="clear" w:color="auto" w:fill="FFFFFF"/>
            <w:noWrap/>
            <w:vAlign w:val="center"/>
          </w:tcPr>
          <w:p w14:paraId="7BCA506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30.33%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022B0A8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0.200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0D253081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34.38%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106E777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46.24%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5D213C2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36.54%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1ACE1EE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0.194</w:t>
            </w:r>
          </w:p>
        </w:tc>
      </w:tr>
      <w:tr w14:paraId="330A8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43" w:type="dxa"/>
            <w:shd w:val="clear" w:color="auto" w:fill="FFFFFF"/>
            <w:vAlign w:val="center"/>
          </w:tcPr>
          <w:p w14:paraId="1C20003B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Cefotaxime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38CE7CE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4.78%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14:paraId="163F474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3.21%</w:t>
            </w:r>
          </w:p>
        </w:tc>
        <w:tc>
          <w:tcPr>
            <w:tcW w:w="1486" w:type="dxa"/>
            <w:gridSpan w:val="2"/>
            <w:shd w:val="clear" w:color="auto" w:fill="FFFFFF"/>
            <w:noWrap/>
            <w:vAlign w:val="center"/>
          </w:tcPr>
          <w:p w14:paraId="753C91A5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2.13%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1F28858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0.485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06BFB551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9.38%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761E9B43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15.05%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3CE8F2F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9.62%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64AFDD75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0.358</w:t>
            </w:r>
          </w:p>
        </w:tc>
      </w:tr>
      <w:tr w14:paraId="005D7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43" w:type="dxa"/>
            <w:shd w:val="clear" w:color="auto" w:fill="FFFFFF"/>
            <w:vAlign w:val="center"/>
          </w:tcPr>
          <w:p w14:paraId="4626BA33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Ceftazidime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2B54CBC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27.07%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14:paraId="60509AA8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22.67%</w:t>
            </w:r>
          </w:p>
        </w:tc>
        <w:tc>
          <w:tcPr>
            <w:tcW w:w="1486" w:type="dxa"/>
            <w:gridSpan w:val="2"/>
            <w:shd w:val="clear" w:color="auto" w:fill="FFFFFF"/>
            <w:noWrap/>
            <w:vAlign w:val="center"/>
          </w:tcPr>
          <w:p w14:paraId="46C710E6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26.07%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3143DBD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0.795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2DDE780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15.63%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415E5598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33.33%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39C9AA7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17.31%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0CC334B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0.005</w:t>
            </w:r>
          </w:p>
        </w:tc>
      </w:tr>
      <w:tr w14:paraId="0A4C30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43" w:type="dxa"/>
            <w:shd w:val="clear" w:color="auto" w:fill="FFFFFF"/>
            <w:vAlign w:val="center"/>
          </w:tcPr>
          <w:p w14:paraId="7D7E13E1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Imipenem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1C4A7536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6.69%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14:paraId="394A74E5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1.40%</w:t>
            </w:r>
          </w:p>
        </w:tc>
        <w:tc>
          <w:tcPr>
            <w:tcW w:w="1486" w:type="dxa"/>
            <w:gridSpan w:val="2"/>
            <w:shd w:val="clear" w:color="auto" w:fill="FFFFFF"/>
            <w:noWrap/>
            <w:vAlign w:val="center"/>
          </w:tcPr>
          <w:p w14:paraId="32BB4896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0.95%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693B168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0.016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301F05F8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15.63%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29F129C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11.83%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68810B3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7.69%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13897CF6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0.220</w:t>
            </w:r>
          </w:p>
        </w:tc>
      </w:tr>
      <w:tr w14:paraId="198C4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43" w:type="dxa"/>
            <w:shd w:val="clear" w:color="auto" w:fill="FFFFFF"/>
            <w:vAlign w:val="center"/>
          </w:tcPr>
          <w:p w14:paraId="1BF922AB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Piperacillin/Tazobactam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680FA5C1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6.69%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14:paraId="06BA05E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2.61%</w:t>
            </w:r>
          </w:p>
        </w:tc>
        <w:tc>
          <w:tcPr>
            <w:tcW w:w="1486" w:type="dxa"/>
            <w:gridSpan w:val="2"/>
            <w:shd w:val="clear" w:color="auto" w:fill="FFFFFF"/>
            <w:noWrap/>
            <w:vAlign w:val="center"/>
          </w:tcPr>
          <w:p w14:paraId="58D06FE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2.13%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07B11D6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0.162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62E30A3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15.63%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4870D07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16.13%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54E9D2D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9.62%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340B0F1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0.369</w:t>
            </w:r>
          </w:p>
        </w:tc>
      </w:tr>
      <w:tr w14:paraId="42D83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43" w:type="dxa"/>
            <w:shd w:val="clear" w:color="auto" w:fill="FFFFFF"/>
            <w:vAlign w:val="center"/>
          </w:tcPr>
          <w:p w14:paraId="54CAD698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Aztreonam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2DF3B75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42.99%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14:paraId="64EF8AA3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37.31%</w:t>
            </w:r>
          </w:p>
        </w:tc>
        <w:tc>
          <w:tcPr>
            <w:tcW w:w="1486" w:type="dxa"/>
            <w:gridSpan w:val="2"/>
            <w:shd w:val="clear" w:color="auto" w:fill="FFFFFF"/>
            <w:noWrap/>
            <w:vAlign w:val="center"/>
          </w:tcPr>
          <w:p w14:paraId="3DBD7826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35.54%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679DF155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0.546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08DB54F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25.00%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6BDC7C8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41.94%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72F22A96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28.85%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2EE8DBF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0.027</w:t>
            </w:r>
          </w:p>
        </w:tc>
      </w:tr>
      <w:tr w14:paraId="52C5F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43" w:type="dxa"/>
            <w:shd w:val="clear" w:color="auto" w:fill="FFFFFF"/>
            <w:vAlign w:val="center"/>
          </w:tcPr>
          <w:p w14:paraId="60B2BF99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Cefepime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33E19536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46.18%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14:paraId="643DA23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45.64%</w:t>
            </w:r>
          </w:p>
        </w:tc>
        <w:tc>
          <w:tcPr>
            <w:tcW w:w="1486" w:type="dxa"/>
            <w:gridSpan w:val="2"/>
            <w:shd w:val="clear" w:color="auto" w:fill="FFFFFF"/>
            <w:noWrap/>
            <w:vAlign w:val="center"/>
          </w:tcPr>
          <w:p w14:paraId="4CDEBCA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45.26%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462AFCFC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0.987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3208E67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28.13%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2B038D7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50.54%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4F634B61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34.62%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6B377A6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0.003</w:t>
            </w:r>
          </w:p>
        </w:tc>
      </w:tr>
      <w:tr w14:paraId="5B6BE5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43" w:type="dxa"/>
            <w:shd w:val="clear" w:color="auto" w:fill="FFFFFF"/>
            <w:vAlign w:val="center"/>
          </w:tcPr>
          <w:p w14:paraId="0C55BF17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Cefatriaxone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2D66D54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5.73%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14:paraId="417182E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4.51%</w:t>
            </w:r>
          </w:p>
        </w:tc>
        <w:tc>
          <w:tcPr>
            <w:tcW w:w="1486" w:type="dxa"/>
            <w:gridSpan w:val="2"/>
            <w:shd w:val="clear" w:color="auto" w:fill="FFFFFF"/>
            <w:noWrap/>
            <w:vAlign w:val="center"/>
          </w:tcPr>
          <w:p w14:paraId="05842C56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3.79%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3F421AA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0.810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6CBA2815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9.38%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5914159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16.13%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53FA4A2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11.54%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403121E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0.320</w:t>
            </w:r>
          </w:p>
        </w:tc>
      </w:tr>
      <w:tr w14:paraId="09268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43" w:type="dxa"/>
            <w:shd w:val="clear" w:color="auto" w:fill="FFFFFF"/>
            <w:vAlign w:val="center"/>
          </w:tcPr>
          <w:p w14:paraId="4421DBEF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Cefuroxime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26FA55CC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48.41%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14:paraId="6AAE35A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47.24%</w:t>
            </w:r>
          </w:p>
        </w:tc>
        <w:tc>
          <w:tcPr>
            <w:tcW w:w="1486" w:type="dxa"/>
            <w:gridSpan w:val="2"/>
            <w:shd w:val="clear" w:color="auto" w:fill="FFFFFF"/>
            <w:noWrap/>
            <w:vAlign w:val="center"/>
          </w:tcPr>
          <w:p w14:paraId="7714999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48.58%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1FF3CF7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0.961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374A64F1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28.13%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637098F5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52.69%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5DA4360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38.46%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1CF492A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0.001</w:t>
            </w:r>
          </w:p>
        </w:tc>
      </w:tr>
      <w:tr w14:paraId="7B54A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43" w:type="dxa"/>
            <w:shd w:val="clear" w:color="auto" w:fill="FFFFFF"/>
            <w:vAlign w:val="center"/>
          </w:tcPr>
          <w:p w14:paraId="6A6A2DCC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Cefazolin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2981D1E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52.87%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14:paraId="74AABE5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50.25%</w:t>
            </w:r>
          </w:p>
        </w:tc>
        <w:tc>
          <w:tcPr>
            <w:tcW w:w="1486" w:type="dxa"/>
            <w:gridSpan w:val="2"/>
            <w:shd w:val="clear" w:color="auto" w:fill="FFFFFF"/>
            <w:noWrap/>
            <w:vAlign w:val="center"/>
          </w:tcPr>
          <w:p w14:paraId="06706128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52.13%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2B342FDC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0.911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1907CCA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37.50%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2E6D683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51.61%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64239F2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44.23%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721989A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0.121</w:t>
            </w:r>
          </w:p>
        </w:tc>
      </w:tr>
      <w:tr w14:paraId="6C9F6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43" w:type="dxa"/>
            <w:shd w:val="clear" w:color="auto" w:fill="FFFFFF"/>
            <w:vAlign w:val="center"/>
          </w:tcPr>
          <w:p w14:paraId="31E06206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Cefoxitin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480DF57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7.96%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14:paraId="18F1595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6.72%</w:t>
            </w:r>
          </w:p>
        </w:tc>
        <w:tc>
          <w:tcPr>
            <w:tcW w:w="1486" w:type="dxa"/>
            <w:gridSpan w:val="2"/>
            <w:shd w:val="clear" w:color="auto" w:fill="FFFFFF"/>
            <w:noWrap/>
            <w:vAlign w:val="center"/>
          </w:tcPr>
          <w:p w14:paraId="4775B028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7.34%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5DD3261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0.952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58889751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6.25%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7B3CE96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19.35%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316B552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17.31%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2A8AA02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0.017</w:t>
            </w:r>
          </w:p>
        </w:tc>
      </w:tr>
      <w:tr w14:paraId="25BFAE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43" w:type="dxa"/>
            <w:shd w:val="clear" w:color="auto" w:fill="FFFFFF"/>
            <w:vAlign w:val="center"/>
          </w:tcPr>
          <w:p w14:paraId="1F23A5B9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Meropenem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19DFADB5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4.78%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14:paraId="3E9ABF2C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1.10%</w:t>
            </w:r>
          </w:p>
        </w:tc>
        <w:tc>
          <w:tcPr>
            <w:tcW w:w="1486" w:type="dxa"/>
            <w:gridSpan w:val="2"/>
            <w:shd w:val="clear" w:color="auto" w:fill="FFFFFF"/>
            <w:noWrap/>
            <w:vAlign w:val="center"/>
          </w:tcPr>
          <w:p w14:paraId="02E853D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1.18%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7BD5C6BC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0.096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201D0656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9.38%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5E6EF1D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12.90%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2F0463E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7.69%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73ED9B46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0.459</w:t>
            </w:r>
          </w:p>
        </w:tc>
      </w:tr>
      <w:tr w14:paraId="2A3552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43" w:type="dxa"/>
            <w:shd w:val="clear" w:color="auto" w:fill="FFFFFF"/>
            <w:vAlign w:val="center"/>
          </w:tcPr>
          <w:p w14:paraId="5FD0CFC7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Etapenem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7874498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4.78%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14:paraId="64718FE5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1.10%</w:t>
            </w:r>
          </w:p>
        </w:tc>
        <w:tc>
          <w:tcPr>
            <w:tcW w:w="1486" w:type="dxa"/>
            <w:gridSpan w:val="2"/>
            <w:shd w:val="clear" w:color="auto" w:fill="FFFFFF"/>
            <w:noWrap/>
            <w:vAlign w:val="center"/>
          </w:tcPr>
          <w:p w14:paraId="3887EFF5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0.95%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2E8604B8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0.096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77E78FC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9.38%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1C50A25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12.90%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1B31A49C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7.69%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2011D081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0.459</w:t>
            </w:r>
          </w:p>
        </w:tc>
      </w:tr>
      <w:tr w14:paraId="755A8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43" w:type="dxa"/>
            <w:shd w:val="clear" w:color="auto" w:fill="FFFFFF"/>
            <w:vAlign w:val="center"/>
          </w:tcPr>
          <w:p w14:paraId="6EED0FB5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Levofloxacin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49D244E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42.04%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14:paraId="5244822C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44.53%</w:t>
            </w:r>
          </w:p>
        </w:tc>
        <w:tc>
          <w:tcPr>
            <w:tcW w:w="1486" w:type="dxa"/>
            <w:gridSpan w:val="2"/>
            <w:shd w:val="clear" w:color="auto" w:fill="FFFFFF"/>
            <w:noWrap/>
            <w:vAlign w:val="center"/>
          </w:tcPr>
          <w:p w14:paraId="423B2EA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45.50%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144CCAB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0.862</w:t>
            </w:r>
          </w:p>
        </w:tc>
        <w:tc>
          <w:tcPr>
            <w:tcW w:w="1202" w:type="dxa"/>
            <w:shd w:val="clear" w:color="auto" w:fill="FFFFFF"/>
            <w:noWrap/>
            <w:vAlign w:val="center"/>
          </w:tcPr>
          <w:p w14:paraId="4B99DB1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21.88%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0FFD401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30.10%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7D957B15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21.15%</w:t>
            </w:r>
          </w:p>
        </w:tc>
        <w:tc>
          <w:tcPr>
            <w:tcW w:w="782" w:type="dxa"/>
            <w:shd w:val="clear" w:color="auto" w:fill="FFFFFF"/>
            <w:noWrap/>
            <w:vAlign w:val="center"/>
          </w:tcPr>
          <w:p w14:paraId="2A915F5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0.267</w:t>
            </w:r>
          </w:p>
        </w:tc>
      </w:tr>
      <w:tr w14:paraId="108C3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643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7E76836C">
            <w:pPr>
              <w:widowControl/>
              <w:spacing w:line="360" w:lineRule="auto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Tigecycline</w:t>
            </w:r>
          </w:p>
        </w:tc>
        <w:tc>
          <w:tcPr>
            <w:tcW w:w="1202" w:type="dxa"/>
            <w:tcBorders>
              <w:bottom w:val="single" w:color="auto" w:sz="4" w:space="0"/>
            </w:tcBorders>
            <w:shd w:val="clear" w:color="auto" w:fill="FFFFFF"/>
            <w:noWrap/>
            <w:vAlign w:val="center"/>
          </w:tcPr>
          <w:p w14:paraId="3CA4AA2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0.32%</w:t>
            </w:r>
          </w:p>
        </w:tc>
        <w:tc>
          <w:tcPr>
            <w:tcW w:w="1066" w:type="dxa"/>
            <w:tcBorders>
              <w:bottom w:val="single" w:color="auto" w:sz="4" w:space="0"/>
            </w:tcBorders>
            <w:shd w:val="clear" w:color="auto" w:fill="FFFFFF"/>
            <w:noWrap/>
            <w:vAlign w:val="center"/>
          </w:tcPr>
          <w:p w14:paraId="0BDEC77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0.10%</w:t>
            </w:r>
          </w:p>
        </w:tc>
        <w:tc>
          <w:tcPr>
            <w:tcW w:w="1486" w:type="dxa"/>
            <w:gridSpan w:val="2"/>
            <w:tcBorders>
              <w:bottom w:val="single" w:color="auto" w:sz="4" w:space="0"/>
            </w:tcBorders>
            <w:shd w:val="clear" w:color="auto" w:fill="FFFFFF"/>
            <w:noWrap/>
            <w:vAlign w:val="center"/>
          </w:tcPr>
          <w:p w14:paraId="2FD3FC6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0.00%</w:t>
            </w:r>
          </w:p>
        </w:tc>
        <w:tc>
          <w:tcPr>
            <w:tcW w:w="782" w:type="dxa"/>
            <w:tcBorders>
              <w:bottom w:val="single" w:color="auto" w:sz="4" w:space="0"/>
            </w:tcBorders>
            <w:shd w:val="clear" w:color="auto" w:fill="FFFFFF"/>
            <w:noWrap/>
            <w:vAlign w:val="center"/>
          </w:tcPr>
          <w:p w14:paraId="61C5EFF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/</w:t>
            </w:r>
          </w:p>
        </w:tc>
        <w:tc>
          <w:tcPr>
            <w:tcW w:w="1202" w:type="dxa"/>
            <w:tcBorders>
              <w:bottom w:val="single" w:color="auto" w:sz="4" w:space="0"/>
            </w:tcBorders>
            <w:shd w:val="clear" w:color="auto" w:fill="FFFFFF"/>
            <w:noWrap/>
            <w:vAlign w:val="center"/>
          </w:tcPr>
          <w:p w14:paraId="76DF001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0.00%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shd w:val="clear" w:color="auto" w:fill="FFFFFF"/>
            <w:noWrap/>
            <w:vAlign w:val="center"/>
          </w:tcPr>
          <w:p w14:paraId="1A95F5C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2.15%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shd w:val="clear" w:color="auto" w:fill="FFFFFF"/>
            <w:noWrap/>
            <w:vAlign w:val="center"/>
          </w:tcPr>
          <w:p w14:paraId="3DAF040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0.00%</w:t>
            </w:r>
          </w:p>
        </w:tc>
        <w:tc>
          <w:tcPr>
            <w:tcW w:w="782" w:type="dxa"/>
            <w:tcBorders>
              <w:bottom w:val="single" w:color="auto" w:sz="4" w:space="0"/>
            </w:tcBorders>
            <w:shd w:val="clear" w:color="auto" w:fill="FFFFFF"/>
            <w:noWrap/>
            <w:vAlign w:val="center"/>
          </w:tcPr>
          <w:p w14:paraId="2CA6CC0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0.134</w:t>
            </w:r>
          </w:p>
        </w:tc>
      </w:tr>
    </w:tbl>
    <w:p w14:paraId="2862A58A">
      <w:r>
        <w:br w:type="page"/>
      </w:r>
    </w:p>
    <w:tbl>
      <w:tblPr>
        <w:tblStyle w:val="5"/>
        <w:tblW w:w="9773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1080"/>
        <w:gridCol w:w="1169"/>
        <w:gridCol w:w="1089"/>
        <w:gridCol w:w="576"/>
        <w:gridCol w:w="222"/>
        <w:gridCol w:w="1080"/>
        <w:gridCol w:w="1089"/>
        <w:gridCol w:w="1089"/>
        <w:gridCol w:w="576"/>
      </w:tblGrid>
      <w:tr w14:paraId="6D14A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7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4FD23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Supplementary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val="en-US" w:eastAsia="zh-CN" w:bidi="ar"/>
              </w:rPr>
              <w:t>Table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S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Drug resistance of common Gram-positive bacteria</w:t>
            </w:r>
          </w:p>
        </w:tc>
      </w:tr>
      <w:tr w14:paraId="63327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FB3E6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1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AAB00B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  <w:bookmarkStart w:id="0" w:name="OLE_LINK1"/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E. faecalis</w:t>
            </w:r>
            <w:bookmarkEnd w:id="0"/>
          </w:p>
        </w:tc>
        <w:tc>
          <w:tcPr>
            <w:tcW w:w="22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491A3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4FE769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1B1B1B"/>
                <w:sz w:val="16"/>
                <w:szCs w:val="16"/>
                <w:u w:val="none"/>
              </w:rPr>
            </w:pPr>
            <w:bookmarkStart w:id="1" w:name="OLE_LINK2"/>
            <w:r>
              <w:rPr>
                <w:rFonts w:hint="default" w:ascii="Times New Roman" w:hAnsi="Times New Roman" w:eastAsia="宋体" w:cs="Times New Roman"/>
                <w:i/>
                <w:iCs/>
                <w:color w:val="1B1B1B"/>
                <w:kern w:val="0"/>
                <w:sz w:val="16"/>
                <w:szCs w:val="16"/>
                <w:u w:val="none"/>
                <w:lang w:val="en-US" w:eastAsia="zh-CN" w:bidi="ar"/>
              </w:rPr>
              <w:t>E. faecium</w:t>
            </w:r>
            <w:bookmarkEnd w:id="1"/>
          </w:p>
        </w:tc>
      </w:tr>
      <w:tr w14:paraId="6403E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80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A7E003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Antibacterial drugs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894492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BC-19(n=44)</w:t>
            </w:r>
          </w:p>
        </w:tc>
        <w:tc>
          <w:tcPr>
            <w:tcW w:w="116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850871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DC-19(n=101)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581A10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AC-19(n=41)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15AE7D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P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value   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517933D">
            <w:pPr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4AB8E3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BC-19(n=35)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B5381F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DC-19(n=97)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649274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AC-19(n=50)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63D38D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value</w:t>
            </w:r>
          </w:p>
        </w:tc>
      </w:tr>
      <w:tr w14:paraId="2AA4D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B5635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Ampicillin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32230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9.09%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F0797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9.90%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929B4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4.88%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1C8AF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8D771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D013F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100.00%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FD174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98.97%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2F524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ED756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0.367 </w:t>
            </w:r>
          </w:p>
        </w:tc>
      </w:tr>
      <w:tr w14:paraId="4F284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E582B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Ciprofloxacin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2075E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31.82%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11DA9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41.58%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D9ED9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41.46%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ACE4F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F3A1F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72826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100.00%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7108F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96.91%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6CA19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14A2F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0.048 </w:t>
            </w:r>
          </w:p>
        </w:tc>
      </w:tr>
      <w:tr w14:paraId="0B8C2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1E638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Linezolid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2A9AE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05CFB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728E4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32F98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B1135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6109A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08527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F2FD9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71659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0.134 </w:t>
            </w:r>
          </w:p>
        </w:tc>
      </w:tr>
      <w:tr w14:paraId="632CE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E9350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Nitrofurantoin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2A279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54E55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91291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22E1B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0.134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96769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8A259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C3EB4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7.22%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471F6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0EAAE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0.000 </w:t>
            </w:r>
          </w:p>
        </w:tc>
      </w:tr>
      <w:tr w14:paraId="76839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B3F21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Penicillin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68F39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18.18%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CAC97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10.89%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979F6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4.88%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48DCF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8D790B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B8302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97.14%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52546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97.94%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B1D7D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2C0D8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0.241 </w:t>
            </w:r>
          </w:p>
        </w:tc>
      </w:tr>
      <w:tr w14:paraId="22ABC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0DF78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Rifampicin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1B4B2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40.91%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F3437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36.63%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C0CAF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36.59%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0FE54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0.798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75ACB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1B43D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68.57%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F3750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DBD4E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62.00%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C7028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0.560 </w:t>
            </w:r>
          </w:p>
        </w:tc>
      </w:tr>
      <w:tr w14:paraId="3C121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D9451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Vancomycin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874A6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2440A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1AD68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7B048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0.367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BA6884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F76C9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DB85E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A650F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AAF4F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0.071 </w:t>
            </w:r>
          </w:p>
        </w:tc>
      </w:tr>
      <w:tr w14:paraId="78F50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5C7FD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Levofloxacin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BBFA3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18.18%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3122C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38.61%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9422C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41.46%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1611F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F2C1DE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2DE8A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62.86%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44E37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93.81%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AE2A8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52C08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0.000 </w:t>
            </w:r>
          </w:p>
        </w:tc>
      </w:tr>
      <w:tr w14:paraId="00A16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00589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High-level Streptomycin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D41B3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22.73%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BB272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23.76%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99CE0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43.90%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5EA64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FF7EF1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A13D9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20.00%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FB4BE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21.65%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632F0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EB9F7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0.587 </w:t>
            </w:r>
          </w:p>
        </w:tc>
      </w:tr>
      <w:tr w14:paraId="33132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5F2BABA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High-level Gentamicin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06B79C1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45.45%</w:t>
            </w:r>
          </w:p>
        </w:tc>
        <w:tc>
          <w:tcPr>
            <w:tcW w:w="116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292503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32.67%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B27335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53.66%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A284B0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0.011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B0BBE67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3C7C93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42.86%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39A431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48.45%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4BCC4C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20.00%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CCD01A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0.000 </w:t>
            </w:r>
          </w:p>
        </w:tc>
      </w:tr>
    </w:tbl>
    <w:p w14:paraId="309EAF0F">
      <w:r>
        <w:br w:type="page"/>
      </w:r>
    </w:p>
    <w:p w14:paraId="3BD1806B"/>
    <w:p w14:paraId="5DD69725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61560" cy="2270760"/>
            <wp:effectExtent l="0" t="0" r="2540" b="2540"/>
            <wp:docPr id="2" name="图片 2" descr="大肠12.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大肠12.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61560" cy="227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209C3">
      <w:pPr>
        <w:ind w:firstLine="2088" w:firstLineChars="1300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Figure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S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: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The change trend of </w:t>
      </w:r>
      <w:r>
        <w:rPr>
          <w:rFonts w:ascii="Times New Roman" w:hAnsi="Times New Roman" w:eastAsia="微软雅黑" w:cs="Times New Roman"/>
          <w:i/>
          <w:color w:val="000000"/>
          <w:sz w:val="16"/>
          <w:szCs w:val="16"/>
        </w:rPr>
        <w:t>E.</w:t>
      </w:r>
      <w:r>
        <w:rPr>
          <w:rFonts w:ascii="Times New Roman" w:hAnsi="Times New Roman"/>
          <w:i/>
          <w:color w:val="000000"/>
          <w:sz w:val="16"/>
          <w:szCs w:val="16"/>
        </w:rPr>
        <w:t xml:space="preserve"> coli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 to common antibiotics</w:t>
      </w:r>
    </w:p>
    <w:p w14:paraId="2BDB5830">
      <w:pP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 w14:paraId="00B6DAA9">
      <w:pP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 w14:paraId="20EF96CC">
      <w:pPr>
        <w:jc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drawing>
          <wp:inline distT="0" distB="0" distL="114300" distR="114300">
            <wp:extent cx="4837430" cy="2124710"/>
            <wp:effectExtent l="0" t="0" r="1270" b="8890"/>
            <wp:docPr id="3" name="图片 3" descr="肺克12.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肺克12.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37430" cy="212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0E0C8">
      <w:pPr>
        <w:ind w:firstLine="1767" w:firstLineChars="1100"/>
        <w:jc w:val="both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Supplementary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 Figure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S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: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The change trend of </w:t>
      </w:r>
      <w:r>
        <w:rPr>
          <w:rFonts w:ascii="Times New Roman" w:hAnsi="Times New Roman" w:eastAsia="微软雅黑" w:cs="Times New Roman"/>
          <w:i/>
          <w:color w:val="000000"/>
          <w:sz w:val="16"/>
          <w:szCs w:val="16"/>
        </w:rPr>
        <w:t>K.</w:t>
      </w:r>
      <w:r>
        <w:rPr>
          <w:rFonts w:ascii="Times New Roman" w:hAnsi="Times New Roman"/>
          <w:i/>
          <w:color w:val="000000"/>
          <w:sz w:val="16"/>
          <w:szCs w:val="16"/>
        </w:rPr>
        <w:t xml:space="preserve"> pneumoniae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 to common antibiotics</w:t>
      </w:r>
    </w:p>
    <w:p w14:paraId="5A44CCC2">
      <w:pPr>
        <w:ind w:firstLine="1760" w:firstLineChars="1100"/>
        <w:jc w:val="both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 w14:paraId="6C0D4504">
      <w:pPr>
        <w:ind w:firstLine="1760" w:firstLineChars="1100"/>
        <w:jc w:val="both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 w14:paraId="42C48960">
      <w:pPr>
        <w:ind w:firstLine="1760" w:firstLineChars="1100"/>
        <w:jc w:val="both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drawing>
          <wp:inline distT="0" distB="0" distL="114300" distR="114300">
            <wp:extent cx="5248910" cy="2310130"/>
            <wp:effectExtent l="0" t="0" r="8890" b="1270"/>
            <wp:docPr id="4" name="图片 4" descr="粪肠12.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粪肠12.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31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84D6D">
      <w:pPr>
        <w:ind w:firstLine="2088" w:firstLineChars="1300"/>
        <w:jc w:val="both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Figure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S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3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: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The change trend of </w:t>
      </w:r>
      <w:r>
        <w:rPr>
          <w:rFonts w:ascii="Times New Roman" w:hAnsi="Times New Roman" w:eastAsia="微软雅黑" w:cs="Times New Roman"/>
          <w:i/>
          <w:color w:val="000000"/>
          <w:sz w:val="16"/>
          <w:szCs w:val="16"/>
        </w:rPr>
        <w:t>E.</w:t>
      </w:r>
      <w:r>
        <w:rPr>
          <w:rFonts w:ascii="Times New Roman" w:hAnsi="Times New Roman"/>
          <w:i/>
          <w:color w:val="000000"/>
          <w:sz w:val="16"/>
          <w:szCs w:val="16"/>
        </w:rPr>
        <w:t xml:space="preserve"> faecalis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 to common antibiotics</w:t>
      </w:r>
    </w:p>
    <w:p w14:paraId="2DD0AD4C">
      <w:pPr>
        <w:ind w:firstLine="2080" w:firstLineChars="1300"/>
        <w:jc w:val="both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 w14:paraId="501315CB">
      <w:pPr>
        <w:ind w:firstLine="2080" w:firstLineChars="1300"/>
        <w:jc w:val="both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 w14:paraId="3A546B83">
      <w:pPr>
        <w:ind w:firstLine="2080" w:firstLineChars="1300"/>
        <w:jc w:val="both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drawing>
          <wp:inline distT="0" distB="0" distL="114300" distR="114300">
            <wp:extent cx="5102225" cy="2179320"/>
            <wp:effectExtent l="0" t="0" r="3175" b="5080"/>
            <wp:docPr id="5" name="图片 5" descr="屎肠12.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屎肠12.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02225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F112C">
      <w:pPr>
        <w:ind w:firstLine="2088" w:firstLineChars="1300"/>
        <w:jc w:val="both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Figure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S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4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>: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The change trend of </w:t>
      </w:r>
      <w:r>
        <w:rPr>
          <w:rFonts w:ascii="Times New Roman" w:hAnsi="Times New Roman" w:eastAsia="微软雅黑" w:cs="Times New Roman"/>
          <w:i/>
          <w:color w:val="000000"/>
          <w:sz w:val="16"/>
          <w:szCs w:val="16"/>
        </w:rPr>
        <w:t>E.</w:t>
      </w:r>
      <w:r>
        <w:rPr>
          <w:rFonts w:ascii="Times New Roman" w:hAnsi="Times New Roman"/>
          <w:i/>
          <w:color w:val="000000"/>
          <w:sz w:val="16"/>
          <w:szCs w:val="16"/>
        </w:rPr>
        <w:t xml:space="preserve"> faecium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  <w:t xml:space="preserve"> to common antibiotics</w:t>
      </w:r>
    </w:p>
    <w:p w14:paraId="30C9D445">
      <w:pPr>
        <w:ind w:firstLine="1760" w:firstLineChars="1100"/>
        <w:jc w:val="both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6"/>
          <w:szCs w:val="16"/>
          <w:u w:val="none"/>
          <w:lang w:val="en-US" w:eastAsia="zh-CN" w:bidi="ar"/>
        </w:rPr>
      </w:pPr>
    </w:p>
    <w:p w14:paraId="33AFDE76">
      <w:pPr>
        <w:rPr>
          <w:rFonts w:ascii="Times New Roman" w:hAnsi="Times New Roman" w:eastAsia="宋体" w:cs="Times New Roman"/>
          <w:i w:val="0"/>
          <w:iCs/>
          <w:color w:val="000000" w:themeColor="text1"/>
          <w:kern w:val="0"/>
          <w:sz w:val="16"/>
          <w:szCs w:val="16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212121"/>
          <w:sz w:val="16"/>
          <w:szCs w:val="16"/>
          <w:shd w:val="clear" w:color="auto" w:fill="FFFFFF"/>
        </w:rPr>
        <w:t xml:space="preserve">* </w:t>
      </w:r>
      <w:r>
        <w:rPr>
          <w:rFonts w:hint="eastAsia" w:ascii="Times New Roman" w:hAnsi="Times New Roman"/>
          <w:b w:val="0"/>
          <w:bCs w:val="0"/>
          <w:color w:val="212121"/>
          <w:sz w:val="16"/>
          <w:szCs w:val="16"/>
          <w:shd w:val="clear" w:color="auto" w:fill="FFFFFF"/>
        </w:rPr>
        <w:t xml:space="preserve">UTIs: </w:t>
      </w:r>
      <w:r>
        <w:rPr>
          <w:rFonts w:ascii="Times New Roman" w:hAnsi="Times New Roman"/>
          <w:b w:val="0"/>
          <w:bCs w:val="0"/>
          <w:color w:val="212121"/>
          <w:sz w:val="16"/>
          <w:szCs w:val="16"/>
          <w:shd w:val="clear" w:color="auto" w:fill="FFFFFF"/>
        </w:rPr>
        <w:t>urinary tract infection</w:t>
      </w:r>
      <w:r>
        <w:rPr>
          <w:rFonts w:hint="eastAsia" w:ascii="Times New Roman" w:hAnsi="Times New Roman"/>
          <w:b w:val="0"/>
          <w:bCs w:val="0"/>
          <w:color w:val="212121"/>
          <w:sz w:val="16"/>
          <w:szCs w:val="16"/>
          <w:shd w:val="clear" w:color="auto" w:fill="FFFFFF"/>
        </w:rPr>
        <w:t xml:space="preserve">s;  </w:t>
      </w:r>
      <w:r>
        <w:rPr>
          <w:rFonts w:ascii="Times New Roman" w:hAnsi="Times New Roman"/>
          <w:b w:val="0"/>
          <w:bCs w:val="0"/>
          <w:color w:val="212121"/>
          <w:sz w:val="16"/>
          <w:szCs w:val="16"/>
          <w:shd w:val="clear" w:color="auto" w:fill="FFFFFF"/>
        </w:rPr>
        <w:t>COVID-19</w:t>
      </w:r>
      <w:r>
        <w:rPr>
          <w:rFonts w:hint="eastAsia" w:ascii="Times New Roman" w:hAnsi="Times New Roman"/>
          <w:b w:val="0"/>
          <w:bCs w:val="0"/>
          <w:color w:val="212121"/>
          <w:sz w:val="16"/>
          <w:szCs w:val="16"/>
          <w:shd w:val="clear" w:color="auto" w:fill="FFFFFF"/>
        </w:rPr>
        <w:t xml:space="preserve">: </w:t>
      </w:r>
      <w:r>
        <w:rPr>
          <w:rFonts w:ascii="Times New Roman" w:hAnsi="Times New Roman" w:cs="Times New Roman"/>
          <w:b w:val="0"/>
          <w:bCs w:val="0"/>
          <w:sz w:val="16"/>
          <w:szCs w:val="16"/>
        </w:rPr>
        <w:t>C</w:t>
      </w:r>
      <w:r>
        <w:rPr>
          <w:rFonts w:ascii="Times New Roman" w:hAnsi="Times New Roman" w:eastAsia="Cambria" w:cs="Times New Roman"/>
          <w:color w:val="212121"/>
          <w:sz w:val="16"/>
          <w:szCs w:val="16"/>
          <w:shd w:val="clear" w:color="auto" w:fill="FFFFFF"/>
        </w:rPr>
        <w:t>oronavirus</w:t>
      </w:r>
      <w:r>
        <w:rPr>
          <w:rFonts w:ascii="Times New Roman" w:hAnsi="Times New Roman"/>
          <w:color w:val="212121"/>
          <w:sz w:val="16"/>
          <w:szCs w:val="16"/>
          <w:shd w:val="clear" w:color="auto" w:fill="FFFFFF"/>
        </w:rPr>
        <w:t xml:space="preserve"> disease 2019</w:t>
      </w:r>
      <w:r>
        <w:rPr>
          <w:rFonts w:hint="eastAsia" w:ascii="Times New Roman" w:hAnsi="Times New Roman"/>
          <w:color w:val="212121"/>
          <w:sz w:val="16"/>
          <w:szCs w:val="16"/>
          <w:shd w:val="clear" w:color="auto" w:fill="FFFFFF"/>
        </w:rPr>
        <w:t>;</w:t>
      </w:r>
      <w:r>
        <w:rPr>
          <w:rFonts w:hint="eastAsia" w:ascii="Cambria" w:hAnsi="Cambria" w:eastAsia="宋体" w:cs="Cambria"/>
          <w:color w:val="1B1B1B"/>
          <w:sz w:val="18"/>
          <w:szCs w:val="18"/>
          <w:shd w:val="clear" w:color="auto" w:fill="FFFFFF"/>
        </w:rPr>
        <w:t xml:space="preserve"> </w:t>
      </w:r>
      <w:r>
        <w:rPr>
          <w:rFonts w:hint="eastAsia" w:ascii="Cambria" w:hAnsi="Cambria" w:eastAsia="宋体" w:cs="Cambria"/>
          <w:color w:val="1B1B1B"/>
          <w:sz w:val="18"/>
          <w:szCs w:val="18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/>
          <w:color w:val="212121"/>
          <w:sz w:val="16"/>
          <w:szCs w:val="16"/>
          <w:shd w:val="clear" w:color="auto" w:fill="FFFFFF"/>
        </w:rPr>
        <w:t>BC-19</w:t>
      </w:r>
      <w:r>
        <w:rPr>
          <w:rFonts w:hint="eastAsia" w:ascii="Times New Roman" w:hAnsi="Times New Roman"/>
          <w:color w:val="212121"/>
          <w:sz w:val="16"/>
          <w:szCs w:val="16"/>
          <w:shd w:val="clear" w:color="auto" w:fill="FFFFFF"/>
        </w:rPr>
        <w:t xml:space="preserve">: </w:t>
      </w:r>
      <w:r>
        <w:rPr>
          <w:rFonts w:ascii="Times New Roman" w:hAnsi="Times New Roman"/>
          <w:color w:val="212121"/>
          <w:sz w:val="16"/>
          <w:szCs w:val="16"/>
          <w:shd w:val="clear" w:color="auto" w:fill="FFFFFF"/>
        </w:rPr>
        <w:t>before COVID-19</w:t>
      </w:r>
      <w:r>
        <w:rPr>
          <w:rFonts w:hint="eastAsia" w:ascii="Times New Roman" w:hAnsi="Times New Roman"/>
          <w:color w:val="212121"/>
          <w:sz w:val="16"/>
          <w:szCs w:val="16"/>
          <w:shd w:val="clear" w:color="auto" w:fill="FFFFFF"/>
        </w:rPr>
        <w:t xml:space="preserve">; </w:t>
      </w:r>
      <w:r>
        <w:rPr>
          <w:rFonts w:hint="eastAsia" w:ascii="Times New Roman" w:hAnsi="Times New Roman"/>
          <w:color w:val="212121"/>
          <w:sz w:val="16"/>
          <w:szCs w:val="16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/>
          <w:color w:val="212121"/>
          <w:sz w:val="16"/>
          <w:szCs w:val="16"/>
          <w:shd w:val="clear" w:color="auto" w:fill="FFFFFF"/>
        </w:rPr>
        <w:t>DC-19</w:t>
      </w:r>
      <w:r>
        <w:rPr>
          <w:rFonts w:hint="eastAsia" w:ascii="Times New Roman" w:hAnsi="Times New Roman"/>
          <w:color w:val="212121"/>
          <w:sz w:val="16"/>
          <w:szCs w:val="16"/>
          <w:shd w:val="clear" w:color="auto" w:fill="FFFFFF"/>
        </w:rPr>
        <w:t xml:space="preserve">: </w:t>
      </w:r>
      <w:r>
        <w:rPr>
          <w:rFonts w:ascii="Times New Roman" w:hAnsi="Times New Roman"/>
          <w:color w:val="212121"/>
          <w:sz w:val="16"/>
          <w:szCs w:val="16"/>
          <w:shd w:val="clear" w:color="auto" w:fill="FFFFFF"/>
        </w:rPr>
        <w:t>during</w:t>
      </w:r>
      <w:r>
        <w:rPr>
          <w:rFonts w:hint="eastAsia" w:ascii="Times New Roman" w:hAnsi="Times New Roman"/>
          <w:color w:val="212121"/>
          <w:sz w:val="16"/>
          <w:szCs w:val="16"/>
          <w:shd w:val="clear" w:color="auto" w:fill="FFFFFF"/>
        </w:rPr>
        <w:t xml:space="preserve"> </w:t>
      </w:r>
      <w:r>
        <w:rPr>
          <w:rFonts w:ascii="Times New Roman" w:hAnsi="Times New Roman"/>
          <w:color w:val="212121"/>
          <w:sz w:val="16"/>
          <w:szCs w:val="16"/>
          <w:shd w:val="clear" w:color="auto" w:fill="FFFFFF"/>
        </w:rPr>
        <w:t>COVID-19</w:t>
      </w:r>
      <w:r>
        <w:rPr>
          <w:rFonts w:hint="eastAsia" w:ascii="Times New Roman" w:hAnsi="Times New Roman"/>
          <w:color w:val="212121"/>
          <w:sz w:val="16"/>
          <w:szCs w:val="16"/>
          <w:shd w:val="clear" w:color="auto" w:fill="FFFFFF"/>
        </w:rPr>
        <w:t xml:space="preserve">; </w:t>
      </w:r>
      <w:r>
        <w:rPr>
          <w:rFonts w:hint="eastAsia" w:ascii="Times New Roman" w:hAnsi="Times New Roman"/>
          <w:color w:val="212121"/>
          <w:sz w:val="16"/>
          <w:szCs w:val="16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/>
          <w:color w:val="212121"/>
          <w:sz w:val="16"/>
          <w:szCs w:val="16"/>
          <w:shd w:val="clear" w:color="auto" w:fill="FFFFFF"/>
        </w:rPr>
        <w:t>AC-19</w:t>
      </w:r>
      <w:r>
        <w:rPr>
          <w:rFonts w:hint="eastAsia" w:ascii="Times New Roman" w:hAnsi="Times New Roman"/>
          <w:color w:val="212121"/>
          <w:sz w:val="16"/>
          <w:szCs w:val="16"/>
          <w:shd w:val="clear" w:color="auto" w:fill="FFFFFF"/>
        </w:rPr>
        <w:t xml:space="preserve">: </w:t>
      </w:r>
      <w:r>
        <w:rPr>
          <w:rFonts w:ascii="Times New Roman" w:hAnsi="Times New Roman"/>
          <w:color w:val="212121"/>
          <w:sz w:val="16"/>
          <w:szCs w:val="16"/>
          <w:shd w:val="clear" w:color="auto" w:fill="FFFFFF"/>
        </w:rPr>
        <w:t>after COVID-19</w:t>
      </w:r>
      <w:r>
        <w:rPr>
          <w:rFonts w:hint="eastAsia" w:ascii="Times New Roman" w:hAnsi="Times New Roman"/>
          <w:color w:val="212121"/>
          <w:sz w:val="16"/>
          <w:szCs w:val="16"/>
          <w:shd w:val="clear" w:color="auto" w:fill="FFFFFF"/>
        </w:rPr>
        <w:t>;</w:t>
      </w:r>
      <w:r>
        <w:rPr>
          <w:rFonts w:hint="eastAsia"/>
          <w:sz w:val="16"/>
          <w:szCs w:val="16"/>
        </w:rPr>
        <w:t xml:space="preserve"> </w:t>
      </w:r>
      <w:r>
        <w:rPr>
          <w:rFonts w:hint="eastAsia"/>
          <w:sz w:val="16"/>
          <w:szCs w:val="16"/>
          <w:lang w:val="en-US" w:eastAsia="zh-CN"/>
        </w:rPr>
        <w:t xml:space="preserve"> </w:t>
      </w:r>
      <w:r>
        <w:rPr>
          <w:rFonts w:ascii="Times New Roman" w:hAnsi="Times New Roman" w:eastAsia="微软雅黑" w:cs="Times New Roman"/>
          <w:i/>
          <w:color w:val="000000"/>
          <w:sz w:val="16"/>
          <w:szCs w:val="16"/>
        </w:rPr>
        <w:t>E.</w:t>
      </w:r>
      <w:r>
        <w:rPr>
          <w:rFonts w:ascii="Times New Roman" w:hAnsi="Times New Roman"/>
          <w:i/>
          <w:color w:val="000000"/>
          <w:sz w:val="16"/>
          <w:szCs w:val="16"/>
        </w:rPr>
        <w:t xml:space="preserve"> coli</w:t>
      </w:r>
      <w:r>
        <w:rPr>
          <w:rFonts w:hint="eastAsia" w:ascii="Times New Roman" w:hAnsi="Times New Roman"/>
          <w:i/>
          <w:color w:val="212121"/>
          <w:sz w:val="16"/>
          <w:szCs w:val="16"/>
          <w:shd w:val="clear" w:color="auto" w:fill="FFFFFF"/>
        </w:rPr>
        <w:t>:</w:t>
      </w:r>
      <w:r>
        <w:rPr>
          <w:rFonts w:hint="eastAsia"/>
          <w:i/>
          <w:sz w:val="16"/>
          <w:szCs w:val="16"/>
        </w:rPr>
        <w:t xml:space="preserve"> </w:t>
      </w:r>
      <w:r>
        <w:rPr>
          <w:rFonts w:ascii="Times New Roman" w:hAnsi="Times New Roman" w:eastAsia="宋体" w:cs="Times New Roman"/>
          <w:i/>
          <w:color w:val="000000"/>
          <w:kern w:val="0"/>
          <w:sz w:val="16"/>
          <w:szCs w:val="16"/>
          <w:lang w:bidi="ar"/>
        </w:rPr>
        <w:t>Escherichia coli</w:t>
      </w:r>
      <w:r>
        <w:rPr>
          <w:rFonts w:hint="eastAsia" w:ascii="Times New Roman" w:hAnsi="Times New Roman" w:eastAsia="宋体" w:cs="Times New Roman"/>
          <w:i/>
          <w:color w:val="000000"/>
          <w:kern w:val="0"/>
          <w:sz w:val="16"/>
          <w:szCs w:val="16"/>
          <w:lang w:bidi="ar"/>
        </w:rPr>
        <w:t xml:space="preserve">;  </w:t>
      </w:r>
      <w:r>
        <w:rPr>
          <w:rFonts w:ascii="Times New Roman" w:hAnsi="Times New Roman" w:eastAsia="微软雅黑" w:cs="Times New Roman"/>
          <w:i/>
          <w:color w:val="000000"/>
          <w:sz w:val="16"/>
          <w:szCs w:val="16"/>
        </w:rPr>
        <w:t>K.</w:t>
      </w:r>
      <w:r>
        <w:rPr>
          <w:rFonts w:ascii="Times New Roman" w:hAnsi="Times New Roman"/>
          <w:i/>
          <w:color w:val="000000"/>
          <w:sz w:val="16"/>
          <w:szCs w:val="16"/>
        </w:rPr>
        <w:t xml:space="preserve"> pneumoniae</w:t>
      </w:r>
      <w:r>
        <w:rPr>
          <w:rFonts w:hint="eastAsia" w:ascii="Times New Roman" w:hAnsi="Times New Roman"/>
          <w:i/>
          <w:color w:val="212121"/>
          <w:sz w:val="16"/>
          <w:szCs w:val="16"/>
          <w:shd w:val="clear" w:color="auto" w:fill="FFFFFF"/>
        </w:rPr>
        <w:t>:</w:t>
      </w:r>
      <w:r>
        <w:rPr>
          <w:rFonts w:hint="eastAsia" w:ascii="Times New Roman" w:hAnsi="Times New Roman"/>
          <w:i/>
          <w:color w:val="000000"/>
          <w:sz w:val="16"/>
          <w:szCs w:val="16"/>
        </w:rPr>
        <w:t xml:space="preserve"> </w:t>
      </w:r>
      <w:r>
        <w:rPr>
          <w:rFonts w:ascii="Times New Roman" w:hAnsi="Times New Roman" w:eastAsia="宋体" w:cs="Times New Roman"/>
          <w:i/>
          <w:color w:val="212121"/>
          <w:kern w:val="0"/>
          <w:sz w:val="16"/>
          <w:szCs w:val="16"/>
          <w:lang w:bidi="ar"/>
        </w:rPr>
        <w:t>Klebsiella pneumoniae</w:t>
      </w:r>
      <w:r>
        <w:rPr>
          <w:rFonts w:hint="eastAsia" w:ascii="Times New Roman" w:hAnsi="Times New Roman" w:eastAsia="宋体" w:cs="Times New Roman"/>
          <w:i/>
          <w:color w:val="212121"/>
          <w:kern w:val="0"/>
          <w:sz w:val="16"/>
          <w:szCs w:val="16"/>
          <w:lang w:bidi="ar"/>
        </w:rPr>
        <w:t xml:space="preserve">;  </w:t>
      </w:r>
      <w:r>
        <w:rPr>
          <w:rFonts w:ascii="Times New Roman" w:hAnsi="Times New Roman" w:eastAsia="微软雅黑" w:cs="Times New Roman"/>
          <w:i/>
          <w:color w:val="000000"/>
          <w:sz w:val="16"/>
          <w:szCs w:val="16"/>
        </w:rPr>
        <w:t>E.</w:t>
      </w:r>
      <w:r>
        <w:rPr>
          <w:rFonts w:ascii="Times New Roman" w:hAnsi="Times New Roman"/>
          <w:i/>
          <w:color w:val="000000"/>
          <w:sz w:val="16"/>
          <w:szCs w:val="16"/>
        </w:rPr>
        <w:t xml:space="preserve"> faecalis</w:t>
      </w:r>
      <w:r>
        <w:rPr>
          <w:rFonts w:hint="eastAsia" w:ascii="Times New Roman" w:hAnsi="Times New Roman"/>
          <w:i/>
          <w:color w:val="212121"/>
          <w:sz w:val="16"/>
          <w:szCs w:val="16"/>
          <w:shd w:val="clear" w:color="auto" w:fill="FFFFFF"/>
        </w:rPr>
        <w:t xml:space="preserve">: </w:t>
      </w:r>
      <w:r>
        <w:rPr>
          <w:rFonts w:ascii="Times New Roman" w:hAnsi="Times New Roman" w:eastAsia="微软雅黑" w:cs="Times New Roman"/>
          <w:i/>
          <w:color w:val="000000"/>
          <w:sz w:val="16"/>
          <w:szCs w:val="16"/>
        </w:rPr>
        <w:t xml:space="preserve">Enterococcus faecalis </w:t>
      </w:r>
      <w:r>
        <w:rPr>
          <w:rFonts w:hint="eastAsia" w:ascii="Times New Roman" w:hAnsi="Times New Roman" w:eastAsia="微软雅黑" w:cs="Times New Roman"/>
          <w:i/>
          <w:color w:val="000000"/>
          <w:sz w:val="16"/>
          <w:szCs w:val="16"/>
        </w:rPr>
        <w:t xml:space="preserve">; </w:t>
      </w:r>
      <w:r>
        <w:rPr>
          <w:rFonts w:ascii="Times New Roman" w:hAnsi="Times New Roman" w:eastAsia="微软雅黑" w:cs="Times New Roman"/>
          <w:i/>
          <w:color w:val="000000"/>
          <w:sz w:val="16"/>
          <w:szCs w:val="16"/>
        </w:rPr>
        <w:t xml:space="preserve"> E.</w:t>
      </w:r>
      <w:r>
        <w:rPr>
          <w:rFonts w:ascii="Times New Roman" w:hAnsi="Times New Roman"/>
          <w:i/>
          <w:color w:val="000000"/>
          <w:sz w:val="16"/>
          <w:szCs w:val="16"/>
        </w:rPr>
        <w:t xml:space="preserve"> faecium</w:t>
      </w:r>
      <w:r>
        <w:rPr>
          <w:rFonts w:hint="eastAsia" w:ascii="Times New Roman" w:hAnsi="Times New Roman"/>
          <w:i/>
          <w:color w:val="212121"/>
          <w:sz w:val="16"/>
          <w:szCs w:val="16"/>
          <w:shd w:val="clear" w:color="auto" w:fill="FFFFFF"/>
        </w:rPr>
        <w:t xml:space="preserve">: </w:t>
      </w:r>
      <w:r>
        <w:rPr>
          <w:rFonts w:ascii="Times New Roman" w:hAnsi="Times New Roman" w:eastAsia="微软雅黑" w:cs="Times New Roman"/>
          <w:i/>
          <w:color w:val="000000"/>
          <w:sz w:val="16"/>
          <w:szCs w:val="16"/>
        </w:rPr>
        <w:t>Enterococcus faecium</w:t>
      </w:r>
      <w:r>
        <w:rPr>
          <w:rFonts w:hint="eastAsia" w:ascii="Times New Roman" w:hAnsi="Times New Roman" w:eastAsia="微软雅黑" w:cs="Times New Roman"/>
          <w:i/>
          <w:color w:val="000000"/>
          <w:sz w:val="16"/>
          <w:szCs w:val="16"/>
        </w:rPr>
        <w:t>;</w:t>
      </w:r>
      <w:r>
        <w:rPr>
          <w:rFonts w:hint="eastAsia" w:ascii="Times New Roman" w:hAnsi="Times New Roman" w:eastAsia="微软雅黑" w:cs="Times New Roman"/>
          <w:i w:val="0"/>
          <w:iCs/>
          <w:color w:val="000000"/>
          <w:sz w:val="16"/>
          <w:szCs w:val="16"/>
        </w:rPr>
        <w:t xml:space="preserve"> /: Not applicable;</w:t>
      </w:r>
      <w:r>
        <w:rPr>
          <w:rFonts w:hint="eastAsia" w:ascii="Times New Roman" w:hAnsi="Times New Roman" w:eastAsia="微软雅黑" w:cs="Times New Roman"/>
          <w:i w:val="0"/>
          <w:i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微软雅黑" w:cs="Times New Roman"/>
          <w:i w:val="0"/>
          <w:iCs/>
          <w:color w:val="000000" w:themeColor="text1"/>
          <w:sz w:val="16"/>
          <w:szCs w:val="16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微软雅黑" w:cs="Times New Roman"/>
          <w:i w:val="0"/>
          <w:i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  <w:t>P valu</w:t>
      </w:r>
      <w:r>
        <w:rPr>
          <w:rFonts w:hint="eastAsia" w:ascii="Times New Roman" w:hAnsi="Times New Roman" w:eastAsia="宋体" w:cs="Times New Roman"/>
          <w:i w:val="0"/>
          <w:iCs/>
          <w:color w:val="000000" w:themeColor="text1"/>
          <w:kern w:val="0"/>
          <w:sz w:val="16"/>
          <w:szCs w:val="16"/>
          <w:lang w:bidi="ar"/>
          <w14:textFill>
            <w14:solidFill>
              <w14:schemeClr w14:val="tx1"/>
            </w14:solidFill>
          </w14:textFill>
        </w:rPr>
        <w:t>e: Comparing resistance rates between different periods using chi-square test, when p&lt;0.05 the difference is statistically significant;</w:t>
      </w:r>
    </w:p>
    <w:p w14:paraId="60EEE096">
      <w:pPr>
        <w:rPr>
          <w:rFonts w:ascii="Times New Roman" w:hAnsi="Times New Roman"/>
          <w:color w:val="212121"/>
          <w:sz w:val="24"/>
          <w:shd w:val="clear" w:color="auto" w:fill="FFFFFF"/>
        </w:rPr>
      </w:pPr>
    </w:p>
    <w:p w14:paraId="1755121A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1AAA98"/>
    <w:multiLevelType w:val="singleLevel"/>
    <w:tmpl w:val="061AAA98"/>
    <w:lvl w:ilvl="0" w:tentative="0">
      <w:start w:val="5"/>
      <w:numFmt w:val="upperLetter"/>
      <w:suff w:val="space"/>
      <w:lvlText w:val="%1."/>
      <w:lvlJc w:val="left"/>
    </w:lvl>
  </w:abstractNum>
  <w:abstractNum w:abstractNumId="1">
    <w:nsid w:val="65516465"/>
    <w:multiLevelType w:val="singleLevel"/>
    <w:tmpl w:val="65516465"/>
    <w:lvl w:ilvl="0" w:tentative="0">
      <w:start w:val="11"/>
      <w:numFmt w:val="upperLetter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608"/>
    <w:rsid w:val="002202CC"/>
    <w:rsid w:val="0022181C"/>
    <w:rsid w:val="004208D6"/>
    <w:rsid w:val="004D4AEB"/>
    <w:rsid w:val="00523EB0"/>
    <w:rsid w:val="00540065"/>
    <w:rsid w:val="005915C6"/>
    <w:rsid w:val="006B4F71"/>
    <w:rsid w:val="007200AE"/>
    <w:rsid w:val="007D37A5"/>
    <w:rsid w:val="008121A5"/>
    <w:rsid w:val="00885B23"/>
    <w:rsid w:val="00C02079"/>
    <w:rsid w:val="00CD5E12"/>
    <w:rsid w:val="00F036C9"/>
    <w:rsid w:val="00FA0608"/>
    <w:rsid w:val="01C42B8B"/>
    <w:rsid w:val="01E0373D"/>
    <w:rsid w:val="01EC20E2"/>
    <w:rsid w:val="01F951D1"/>
    <w:rsid w:val="027D0F8C"/>
    <w:rsid w:val="02C62933"/>
    <w:rsid w:val="031850F2"/>
    <w:rsid w:val="03661A20"/>
    <w:rsid w:val="036F6B27"/>
    <w:rsid w:val="03B60BF9"/>
    <w:rsid w:val="03F4702C"/>
    <w:rsid w:val="040A684F"/>
    <w:rsid w:val="04294F27"/>
    <w:rsid w:val="04B073F7"/>
    <w:rsid w:val="04CE1F73"/>
    <w:rsid w:val="05031C1C"/>
    <w:rsid w:val="050C3F89"/>
    <w:rsid w:val="05147353"/>
    <w:rsid w:val="052D0A47"/>
    <w:rsid w:val="053B08E6"/>
    <w:rsid w:val="05ED01D7"/>
    <w:rsid w:val="05FC5058"/>
    <w:rsid w:val="062A4F87"/>
    <w:rsid w:val="067C28DE"/>
    <w:rsid w:val="068D4FC2"/>
    <w:rsid w:val="06AE3E0A"/>
    <w:rsid w:val="06B17456"/>
    <w:rsid w:val="06D73361"/>
    <w:rsid w:val="06FF6413"/>
    <w:rsid w:val="070B300A"/>
    <w:rsid w:val="071D4E86"/>
    <w:rsid w:val="076F3599"/>
    <w:rsid w:val="07893F2F"/>
    <w:rsid w:val="083D0825"/>
    <w:rsid w:val="085E716A"/>
    <w:rsid w:val="086C7AD9"/>
    <w:rsid w:val="0889068B"/>
    <w:rsid w:val="08AC4379"/>
    <w:rsid w:val="08BA0E45"/>
    <w:rsid w:val="08C2594B"/>
    <w:rsid w:val="09047D11"/>
    <w:rsid w:val="095A5B83"/>
    <w:rsid w:val="09FC30DE"/>
    <w:rsid w:val="0A0106F5"/>
    <w:rsid w:val="0A310FDA"/>
    <w:rsid w:val="0A386039"/>
    <w:rsid w:val="0A5F5B47"/>
    <w:rsid w:val="0A6C32DD"/>
    <w:rsid w:val="0A7E3AF3"/>
    <w:rsid w:val="0A9C228A"/>
    <w:rsid w:val="0ABD571D"/>
    <w:rsid w:val="0ACA6D38"/>
    <w:rsid w:val="0ADD6A6C"/>
    <w:rsid w:val="0B13248D"/>
    <w:rsid w:val="0B3D39AE"/>
    <w:rsid w:val="0B7C0033"/>
    <w:rsid w:val="0B8B64C8"/>
    <w:rsid w:val="0BBE689D"/>
    <w:rsid w:val="0BC72167"/>
    <w:rsid w:val="0C180903"/>
    <w:rsid w:val="0C7C4062"/>
    <w:rsid w:val="0C8353F1"/>
    <w:rsid w:val="0D305579"/>
    <w:rsid w:val="0D3606B5"/>
    <w:rsid w:val="0D6005D3"/>
    <w:rsid w:val="0D8C6527"/>
    <w:rsid w:val="0E100F06"/>
    <w:rsid w:val="0E3966AF"/>
    <w:rsid w:val="0E5313D3"/>
    <w:rsid w:val="0E792F4F"/>
    <w:rsid w:val="0EEC54CF"/>
    <w:rsid w:val="0F1F58A5"/>
    <w:rsid w:val="0F4B48EC"/>
    <w:rsid w:val="0F847DFE"/>
    <w:rsid w:val="0F9303C1"/>
    <w:rsid w:val="0F9F2542"/>
    <w:rsid w:val="0FE65245"/>
    <w:rsid w:val="0FF7412C"/>
    <w:rsid w:val="0FF860F6"/>
    <w:rsid w:val="10394744"/>
    <w:rsid w:val="1054157E"/>
    <w:rsid w:val="107439CE"/>
    <w:rsid w:val="10E8616A"/>
    <w:rsid w:val="10EE5EB2"/>
    <w:rsid w:val="10F13271"/>
    <w:rsid w:val="11765FF3"/>
    <w:rsid w:val="117A5014"/>
    <w:rsid w:val="11AD29BB"/>
    <w:rsid w:val="11BB73DB"/>
    <w:rsid w:val="11C40985"/>
    <w:rsid w:val="11D24E50"/>
    <w:rsid w:val="12130FC5"/>
    <w:rsid w:val="12192A7F"/>
    <w:rsid w:val="123D6042"/>
    <w:rsid w:val="124D44D7"/>
    <w:rsid w:val="12865C3B"/>
    <w:rsid w:val="12EA61CA"/>
    <w:rsid w:val="130B1A73"/>
    <w:rsid w:val="130F3E82"/>
    <w:rsid w:val="133B4C77"/>
    <w:rsid w:val="13531FC1"/>
    <w:rsid w:val="135B2C24"/>
    <w:rsid w:val="13BF7656"/>
    <w:rsid w:val="13F6294C"/>
    <w:rsid w:val="14005579"/>
    <w:rsid w:val="14411E19"/>
    <w:rsid w:val="145E7109"/>
    <w:rsid w:val="146D2C0E"/>
    <w:rsid w:val="14885C9A"/>
    <w:rsid w:val="15007F26"/>
    <w:rsid w:val="156C736A"/>
    <w:rsid w:val="156E6E68"/>
    <w:rsid w:val="157A39DE"/>
    <w:rsid w:val="158F4E06"/>
    <w:rsid w:val="15E52C78"/>
    <w:rsid w:val="1700420E"/>
    <w:rsid w:val="171F21BA"/>
    <w:rsid w:val="174F0CF1"/>
    <w:rsid w:val="17C62E21"/>
    <w:rsid w:val="17DD454F"/>
    <w:rsid w:val="17E7717C"/>
    <w:rsid w:val="181F6915"/>
    <w:rsid w:val="188350F6"/>
    <w:rsid w:val="18BD7EDC"/>
    <w:rsid w:val="18F51424"/>
    <w:rsid w:val="19230795"/>
    <w:rsid w:val="19CC487B"/>
    <w:rsid w:val="19EE47F1"/>
    <w:rsid w:val="1A3A17E5"/>
    <w:rsid w:val="1A46462D"/>
    <w:rsid w:val="1A772A39"/>
    <w:rsid w:val="1AB772D9"/>
    <w:rsid w:val="1AD03EF7"/>
    <w:rsid w:val="1AD734D7"/>
    <w:rsid w:val="1AF71484"/>
    <w:rsid w:val="1C224C26"/>
    <w:rsid w:val="1C536B8E"/>
    <w:rsid w:val="1C5B3C94"/>
    <w:rsid w:val="1C760261"/>
    <w:rsid w:val="1C8925AF"/>
    <w:rsid w:val="1CCB2BC8"/>
    <w:rsid w:val="1D0B4BBF"/>
    <w:rsid w:val="1D507571"/>
    <w:rsid w:val="1D6848BB"/>
    <w:rsid w:val="1DE71C83"/>
    <w:rsid w:val="1DEB1048"/>
    <w:rsid w:val="1EA66FDD"/>
    <w:rsid w:val="1EBF050A"/>
    <w:rsid w:val="1ED65854"/>
    <w:rsid w:val="1F2D0828"/>
    <w:rsid w:val="1F8F4381"/>
    <w:rsid w:val="1F9C2C43"/>
    <w:rsid w:val="1FF95C9E"/>
    <w:rsid w:val="1FFB7C68"/>
    <w:rsid w:val="20344F28"/>
    <w:rsid w:val="20452C91"/>
    <w:rsid w:val="20692E24"/>
    <w:rsid w:val="20713A86"/>
    <w:rsid w:val="208F215E"/>
    <w:rsid w:val="20B87907"/>
    <w:rsid w:val="211C3310"/>
    <w:rsid w:val="21BF4CC5"/>
    <w:rsid w:val="21C36564"/>
    <w:rsid w:val="222B5EB7"/>
    <w:rsid w:val="22350AE4"/>
    <w:rsid w:val="22361059"/>
    <w:rsid w:val="22D327D6"/>
    <w:rsid w:val="22D447A0"/>
    <w:rsid w:val="22F10EAE"/>
    <w:rsid w:val="2322375E"/>
    <w:rsid w:val="23337719"/>
    <w:rsid w:val="233A2855"/>
    <w:rsid w:val="233D2346"/>
    <w:rsid w:val="23B56380"/>
    <w:rsid w:val="23C16AD3"/>
    <w:rsid w:val="23D26F32"/>
    <w:rsid w:val="24A85EE5"/>
    <w:rsid w:val="25007ACF"/>
    <w:rsid w:val="25535E50"/>
    <w:rsid w:val="25940CE3"/>
    <w:rsid w:val="25D24FC7"/>
    <w:rsid w:val="25FF4081"/>
    <w:rsid w:val="261A783F"/>
    <w:rsid w:val="267A5F93"/>
    <w:rsid w:val="26DE174A"/>
    <w:rsid w:val="26F62F37"/>
    <w:rsid w:val="27165388"/>
    <w:rsid w:val="280E605F"/>
    <w:rsid w:val="29AE18A7"/>
    <w:rsid w:val="29B42C36"/>
    <w:rsid w:val="29D86924"/>
    <w:rsid w:val="29E965DC"/>
    <w:rsid w:val="2A241B69"/>
    <w:rsid w:val="2A4C5E0C"/>
    <w:rsid w:val="2A783C63"/>
    <w:rsid w:val="2A7C7BF7"/>
    <w:rsid w:val="2A80338B"/>
    <w:rsid w:val="2A8940C2"/>
    <w:rsid w:val="2AB34570"/>
    <w:rsid w:val="2B0379D1"/>
    <w:rsid w:val="2B81622C"/>
    <w:rsid w:val="2BFB2D9E"/>
    <w:rsid w:val="2C0C6D59"/>
    <w:rsid w:val="2C2D6EEB"/>
    <w:rsid w:val="2C3047F6"/>
    <w:rsid w:val="2C566ACE"/>
    <w:rsid w:val="2CC94C4A"/>
    <w:rsid w:val="2CF47F19"/>
    <w:rsid w:val="2D7D7F0E"/>
    <w:rsid w:val="2DE10CDC"/>
    <w:rsid w:val="2E20089A"/>
    <w:rsid w:val="2E352597"/>
    <w:rsid w:val="2E566551"/>
    <w:rsid w:val="2E652751"/>
    <w:rsid w:val="2E7110F5"/>
    <w:rsid w:val="2EA9088F"/>
    <w:rsid w:val="2EC2447F"/>
    <w:rsid w:val="2EC41B6D"/>
    <w:rsid w:val="2EE54EC7"/>
    <w:rsid w:val="2F106B60"/>
    <w:rsid w:val="2F650C5A"/>
    <w:rsid w:val="2FCA4F61"/>
    <w:rsid w:val="2FCA6D0F"/>
    <w:rsid w:val="301F52AD"/>
    <w:rsid w:val="306C426A"/>
    <w:rsid w:val="307A24E3"/>
    <w:rsid w:val="307F5C42"/>
    <w:rsid w:val="30894E1C"/>
    <w:rsid w:val="30A532D8"/>
    <w:rsid w:val="311C49A2"/>
    <w:rsid w:val="31210BB1"/>
    <w:rsid w:val="31837ABD"/>
    <w:rsid w:val="318B6972"/>
    <w:rsid w:val="31921AAF"/>
    <w:rsid w:val="31923162"/>
    <w:rsid w:val="31A17F44"/>
    <w:rsid w:val="31CF685F"/>
    <w:rsid w:val="31ED676B"/>
    <w:rsid w:val="320D55D9"/>
    <w:rsid w:val="321150C9"/>
    <w:rsid w:val="323808A8"/>
    <w:rsid w:val="326E7E26"/>
    <w:rsid w:val="329A6E6D"/>
    <w:rsid w:val="33274478"/>
    <w:rsid w:val="335F3C12"/>
    <w:rsid w:val="33707BCD"/>
    <w:rsid w:val="339715FE"/>
    <w:rsid w:val="33F56325"/>
    <w:rsid w:val="345E036E"/>
    <w:rsid w:val="346A6D13"/>
    <w:rsid w:val="34AE4E51"/>
    <w:rsid w:val="35083C37"/>
    <w:rsid w:val="350C3926"/>
    <w:rsid w:val="35150A2C"/>
    <w:rsid w:val="353D61D5"/>
    <w:rsid w:val="35635C3C"/>
    <w:rsid w:val="35EB3E55"/>
    <w:rsid w:val="360B1E2F"/>
    <w:rsid w:val="367B1245"/>
    <w:rsid w:val="368D0A96"/>
    <w:rsid w:val="370D708F"/>
    <w:rsid w:val="37492C0F"/>
    <w:rsid w:val="375241BA"/>
    <w:rsid w:val="376143FD"/>
    <w:rsid w:val="37CD2EA1"/>
    <w:rsid w:val="37D42E21"/>
    <w:rsid w:val="381A45AC"/>
    <w:rsid w:val="38411B71"/>
    <w:rsid w:val="385D64E6"/>
    <w:rsid w:val="38741F0E"/>
    <w:rsid w:val="38F848ED"/>
    <w:rsid w:val="391D25A6"/>
    <w:rsid w:val="394A59F5"/>
    <w:rsid w:val="3962445C"/>
    <w:rsid w:val="39831D7F"/>
    <w:rsid w:val="3995213C"/>
    <w:rsid w:val="399565E0"/>
    <w:rsid w:val="39D519F6"/>
    <w:rsid w:val="3A4E151F"/>
    <w:rsid w:val="3B8907CC"/>
    <w:rsid w:val="3C667DC0"/>
    <w:rsid w:val="3C9E1C4F"/>
    <w:rsid w:val="3C9F0607"/>
    <w:rsid w:val="3CB72D11"/>
    <w:rsid w:val="3CD92C87"/>
    <w:rsid w:val="3CE84C78"/>
    <w:rsid w:val="3D1E68EC"/>
    <w:rsid w:val="3D3103CE"/>
    <w:rsid w:val="3D475E43"/>
    <w:rsid w:val="3D9D5A63"/>
    <w:rsid w:val="3DA54918"/>
    <w:rsid w:val="3E285F8A"/>
    <w:rsid w:val="3E9450B8"/>
    <w:rsid w:val="3EF26282"/>
    <w:rsid w:val="3F0F0BE2"/>
    <w:rsid w:val="3F0F473E"/>
    <w:rsid w:val="3F422D66"/>
    <w:rsid w:val="3F4E170B"/>
    <w:rsid w:val="3F604F9A"/>
    <w:rsid w:val="3FCF3ECE"/>
    <w:rsid w:val="3FFC1167"/>
    <w:rsid w:val="408847A8"/>
    <w:rsid w:val="41263DF8"/>
    <w:rsid w:val="415648A7"/>
    <w:rsid w:val="41CD45FD"/>
    <w:rsid w:val="41CE268F"/>
    <w:rsid w:val="41CE6B33"/>
    <w:rsid w:val="42641245"/>
    <w:rsid w:val="427D3646"/>
    <w:rsid w:val="42D9753D"/>
    <w:rsid w:val="42FE0D52"/>
    <w:rsid w:val="43346E69"/>
    <w:rsid w:val="43911BC6"/>
    <w:rsid w:val="43AD0D2E"/>
    <w:rsid w:val="43BC64FD"/>
    <w:rsid w:val="43C57AC2"/>
    <w:rsid w:val="447F5EC2"/>
    <w:rsid w:val="44BF09B5"/>
    <w:rsid w:val="44D3162F"/>
    <w:rsid w:val="44D53D34"/>
    <w:rsid w:val="44DA13C5"/>
    <w:rsid w:val="44E81CBA"/>
    <w:rsid w:val="44F468B0"/>
    <w:rsid w:val="4501131A"/>
    <w:rsid w:val="45091C30"/>
    <w:rsid w:val="452B7DF8"/>
    <w:rsid w:val="45A1630C"/>
    <w:rsid w:val="45D109A0"/>
    <w:rsid w:val="464B0BCC"/>
    <w:rsid w:val="46D70238"/>
    <w:rsid w:val="476B6BD2"/>
    <w:rsid w:val="47C06F1E"/>
    <w:rsid w:val="481D5A83"/>
    <w:rsid w:val="483416BA"/>
    <w:rsid w:val="489D2DBB"/>
    <w:rsid w:val="48A203D1"/>
    <w:rsid w:val="48E924A4"/>
    <w:rsid w:val="49902920"/>
    <w:rsid w:val="4A351FB4"/>
    <w:rsid w:val="4A767D68"/>
    <w:rsid w:val="4AAD55D8"/>
    <w:rsid w:val="4AB50890"/>
    <w:rsid w:val="4AF81D89"/>
    <w:rsid w:val="4B0435C5"/>
    <w:rsid w:val="4B1A2CCE"/>
    <w:rsid w:val="4B63653E"/>
    <w:rsid w:val="4BCA036B"/>
    <w:rsid w:val="4BF03B4A"/>
    <w:rsid w:val="4C286E40"/>
    <w:rsid w:val="4C96649F"/>
    <w:rsid w:val="4C9B37AC"/>
    <w:rsid w:val="4CAC5CC3"/>
    <w:rsid w:val="4CB22BAD"/>
    <w:rsid w:val="4CC90623"/>
    <w:rsid w:val="4CDA2830"/>
    <w:rsid w:val="4CF51418"/>
    <w:rsid w:val="4D44414D"/>
    <w:rsid w:val="4D553C64"/>
    <w:rsid w:val="4D5A74CD"/>
    <w:rsid w:val="4D97427D"/>
    <w:rsid w:val="4DFC4A28"/>
    <w:rsid w:val="4E351C79"/>
    <w:rsid w:val="4E4C150B"/>
    <w:rsid w:val="4E5E123E"/>
    <w:rsid w:val="4E6D1482"/>
    <w:rsid w:val="4ECB45A2"/>
    <w:rsid w:val="4F161B19"/>
    <w:rsid w:val="4F1D2EA8"/>
    <w:rsid w:val="4F2E6E63"/>
    <w:rsid w:val="4F764499"/>
    <w:rsid w:val="4FD25A40"/>
    <w:rsid w:val="4FF36996"/>
    <w:rsid w:val="50025BF9"/>
    <w:rsid w:val="503C110B"/>
    <w:rsid w:val="505E1082"/>
    <w:rsid w:val="512A5408"/>
    <w:rsid w:val="5144471C"/>
    <w:rsid w:val="514C1822"/>
    <w:rsid w:val="51823496"/>
    <w:rsid w:val="51917235"/>
    <w:rsid w:val="51F6353C"/>
    <w:rsid w:val="52BF7DD2"/>
    <w:rsid w:val="52F635F3"/>
    <w:rsid w:val="534F4FAB"/>
    <w:rsid w:val="53634C01"/>
    <w:rsid w:val="53802984"/>
    <w:rsid w:val="53D578AD"/>
    <w:rsid w:val="5426635A"/>
    <w:rsid w:val="5435659E"/>
    <w:rsid w:val="544467E1"/>
    <w:rsid w:val="544D7D8B"/>
    <w:rsid w:val="54F2623D"/>
    <w:rsid w:val="552830AF"/>
    <w:rsid w:val="559B4B26"/>
    <w:rsid w:val="55FB7373"/>
    <w:rsid w:val="56186177"/>
    <w:rsid w:val="565A22EB"/>
    <w:rsid w:val="5664316A"/>
    <w:rsid w:val="56CD51B3"/>
    <w:rsid w:val="56FC33A3"/>
    <w:rsid w:val="57193F55"/>
    <w:rsid w:val="572528F9"/>
    <w:rsid w:val="5728063B"/>
    <w:rsid w:val="574B7E86"/>
    <w:rsid w:val="57C0382C"/>
    <w:rsid w:val="5805272B"/>
    <w:rsid w:val="583059FA"/>
    <w:rsid w:val="58496ABB"/>
    <w:rsid w:val="58535244"/>
    <w:rsid w:val="58580AAD"/>
    <w:rsid w:val="58A261CC"/>
    <w:rsid w:val="59154BEF"/>
    <w:rsid w:val="593867FC"/>
    <w:rsid w:val="597D4C6F"/>
    <w:rsid w:val="59CA3C2C"/>
    <w:rsid w:val="5A4532B2"/>
    <w:rsid w:val="5A9F0C15"/>
    <w:rsid w:val="5AFA5E4B"/>
    <w:rsid w:val="5B5E287E"/>
    <w:rsid w:val="5B794741"/>
    <w:rsid w:val="5BFC644E"/>
    <w:rsid w:val="5C172F45"/>
    <w:rsid w:val="5C7B120D"/>
    <w:rsid w:val="5CDD77D2"/>
    <w:rsid w:val="5CEE7C31"/>
    <w:rsid w:val="5D227F94"/>
    <w:rsid w:val="5D69550A"/>
    <w:rsid w:val="5D83037A"/>
    <w:rsid w:val="5D9C768D"/>
    <w:rsid w:val="5DB6074F"/>
    <w:rsid w:val="5DCA41FA"/>
    <w:rsid w:val="5DE132F2"/>
    <w:rsid w:val="5DE51034"/>
    <w:rsid w:val="5E045A74"/>
    <w:rsid w:val="5E4A533B"/>
    <w:rsid w:val="5E5341F0"/>
    <w:rsid w:val="5E631F59"/>
    <w:rsid w:val="5EF7101F"/>
    <w:rsid w:val="5F0674B4"/>
    <w:rsid w:val="5F427DC1"/>
    <w:rsid w:val="5FA8056B"/>
    <w:rsid w:val="5FB03323"/>
    <w:rsid w:val="5FDC6467"/>
    <w:rsid w:val="60082DB8"/>
    <w:rsid w:val="60100FDA"/>
    <w:rsid w:val="60123C37"/>
    <w:rsid w:val="601B6F8F"/>
    <w:rsid w:val="604537B7"/>
    <w:rsid w:val="60803296"/>
    <w:rsid w:val="613D6DCE"/>
    <w:rsid w:val="61811074"/>
    <w:rsid w:val="61812E22"/>
    <w:rsid w:val="61840B64"/>
    <w:rsid w:val="619012B7"/>
    <w:rsid w:val="61D03DA9"/>
    <w:rsid w:val="61FC06FB"/>
    <w:rsid w:val="6220088D"/>
    <w:rsid w:val="622354BA"/>
    <w:rsid w:val="622F287E"/>
    <w:rsid w:val="628726BA"/>
    <w:rsid w:val="62A42563"/>
    <w:rsid w:val="62AC4CAF"/>
    <w:rsid w:val="62CC631F"/>
    <w:rsid w:val="6315416A"/>
    <w:rsid w:val="63253C81"/>
    <w:rsid w:val="634D4724"/>
    <w:rsid w:val="635C3B47"/>
    <w:rsid w:val="6397692D"/>
    <w:rsid w:val="63D6396B"/>
    <w:rsid w:val="64061D04"/>
    <w:rsid w:val="646627A3"/>
    <w:rsid w:val="646709F5"/>
    <w:rsid w:val="65242442"/>
    <w:rsid w:val="65BF660F"/>
    <w:rsid w:val="65C4315A"/>
    <w:rsid w:val="663B41A7"/>
    <w:rsid w:val="66560D21"/>
    <w:rsid w:val="668F5FE1"/>
    <w:rsid w:val="6727446C"/>
    <w:rsid w:val="679F4002"/>
    <w:rsid w:val="68024591"/>
    <w:rsid w:val="684A6664"/>
    <w:rsid w:val="685A43CD"/>
    <w:rsid w:val="68684D3C"/>
    <w:rsid w:val="688356D2"/>
    <w:rsid w:val="689C6793"/>
    <w:rsid w:val="68D221B5"/>
    <w:rsid w:val="69671E15"/>
    <w:rsid w:val="696E0130"/>
    <w:rsid w:val="69FD14B4"/>
    <w:rsid w:val="6A2904FB"/>
    <w:rsid w:val="6A7A48B2"/>
    <w:rsid w:val="6A9A6D03"/>
    <w:rsid w:val="6ACB3360"/>
    <w:rsid w:val="6AEA1A38"/>
    <w:rsid w:val="6AED32D6"/>
    <w:rsid w:val="6B2A277C"/>
    <w:rsid w:val="6B824366"/>
    <w:rsid w:val="6BA37E39"/>
    <w:rsid w:val="6BB37DA1"/>
    <w:rsid w:val="6BC30153"/>
    <w:rsid w:val="6BEA5A68"/>
    <w:rsid w:val="6CA420BB"/>
    <w:rsid w:val="6CCB3AEB"/>
    <w:rsid w:val="6D1B05CF"/>
    <w:rsid w:val="6D437B25"/>
    <w:rsid w:val="6D9D7236"/>
    <w:rsid w:val="6E080427"/>
    <w:rsid w:val="6E423939"/>
    <w:rsid w:val="6F457B85"/>
    <w:rsid w:val="70205EFC"/>
    <w:rsid w:val="7025122B"/>
    <w:rsid w:val="70765B1C"/>
    <w:rsid w:val="707C6AE2"/>
    <w:rsid w:val="70B14DA6"/>
    <w:rsid w:val="70C44AD9"/>
    <w:rsid w:val="70D311C0"/>
    <w:rsid w:val="711C66C3"/>
    <w:rsid w:val="713779A1"/>
    <w:rsid w:val="71632544"/>
    <w:rsid w:val="716F2C97"/>
    <w:rsid w:val="720A29C0"/>
    <w:rsid w:val="72312642"/>
    <w:rsid w:val="72874010"/>
    <w:rsid w:val="72A9042B"/>
    <w:rsid w:val="72E476B5"/>
    <w:rsid w:val="72E90827"/>
    <w:rsid w:val="733C129F"/>
    <w:rsid w:val="734E4B2E"/>
    <w:rsid w:val="738844E4"/>
    <w:rsid w:val="740718AD"/>
    <w:rsid w:val="748C1DB2"/>
    <w:rsid w:val="74B17A6A"/>
    <w:rsid w:val="74BF3F35"/>
    <w:rsid w:val="74C942C1"/>
    <w:rsid w:val="74CE23CA"/>
    <w:rsid w:val="74E05C5A"/>
    <w:rsid w:val="74F02341"/>
    <w:rsid w:val="756B19C7"/>
    <w:rsid w:val="756D1BE3"/>
    <w:rsid w:val="75984ABB"/>
    <w:rsid w:val="75B25848"/>
    <w:rsid w:val="765D3A06"/>
    <w:rsid w:val="76704DC8"/>
    <w:rsid w:val="76740D50"/>
    <w:rsid w:val="76DF2354"/>
    <w:rsid w:val="7735228D"/>
    <w:rsid w:val="77446974"/>
    <w:rsid w:val="777032C5"/>
    <w:rsid w:val="777D1E86"/>
    <w:rsid w:val="778B6351"/>
    <w:rsid w:val="77DE46D3"/>
    <w:rsid w:val="77F51A1C"/>
    <w:rsid w:val="780305DD"/>
    <w:rsid w:val="787943FB"/>
    <w:rsid w:val="789456D9"/>
    <w:rsid w:val="78BC253A"/>
    <w:rsid w:val="78C80EDF"/>
    <w:rsid w:val="7927654D"/>
    <w:rsid w:val="799139C7"/>
    <w:rsid w:val="79BC72CC"/>
    <w:rsid w:val="7A1563A6"/>
    <w:rsid w:val="7A2860D9"/>
    <w:rsid w:val="7A401675"/>
    <w:rsid w:val="7A6C06BC"/>
    <w:rsid w:val="7A7C4677"/>
    <w:rsid w:val="7AB43E11"/>
    <w:rsid w:val="7AB91427"/>
    <w:rsid w:val="7AEA338E"/>
    <w:rsid w:val="7B5E7882"/>
    <w:rsid w:val="7BA2010D"/>
    <w:rsid w:val="7BA936C6"/>
    <w:rsid w:val="7BBC2F7D"/>
    <w:rsid w:val="7BC10593"/>
    <w:rsid w:val="7BF3046F"/>
    <w:rsid w:val="7BF47C3B"/>
    <w:rsid w:val="7BF73FB5"/>
    <w:rsid w:val="7BFF1417"/>
    <w:rsid w:val="7C3C5E6C"/>
    <w:rsid w:val="7C3F770A"/>
    <w:rsid w:val="7CC52305"/>
    <w:rsid w:val="7CDB38D7"/>
    <w:rsid w:val="7D052701"/>
    <w:rsid w:val="7D5E1E12"/>
    <w:rsid w:val="7D8C2E23"/>
    <w:rsid w:val="7DA57A41"/>
    <w:rsid w:val="7DE20C95"/>
    <w:rsid w:val="7DF536D5"/>
    <w:rsid w:val="7ED95BF4"/>
    <w:rsid w:val="7F947D6D"/>
    <w:rsid w:val="7FA501CC"/>
    <w:rsid w:val="7FA77AA0"/>
    <w:rsid w:val="7FB3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font1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8">
    <w:name w:val="font3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9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21"/>
    <w:basedOn w:val="6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font4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批注框文本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667</Words>
  <Characters>4273</Characters>
  <Lines>39</Lines>
  <Paragraphs>11</Paragraphs>
  <TotalTime>7</TotalTime>
  <ScaleCrop>false</ScaleCrop>
  <LinksUpToDate>false</LinksUpToDate>
  <CharactersWithSpaces>4616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2025-08-07T06:08:00Z</dcterms:created>
  <dc:creator>Administrator</dc:creator>
  <cp:lastModifiedBy>无知</cp:lastModifiedBy>
  <dcterms:modified xsi:type="dcterms:W3CDTF">2025-12-15T07:00:36Z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eyJoZGlkIjoiNDAwZTkyZjZlNmJjMzkyZDU4MTQ5NmFmODU0YTgzMjMiLCJ1c2VySWQiOiIxMTIxNzU4MzAyIn0=</vt:lpwstr>
  </property>
  <property fmtid="{D5CDD505-2E9C-101B-9397-08002B2CF9AE}" pid="4" name="ICV">
    <vt:lpwstr>5F6CB8EDCE2143F0A8E753F89DD13403_13</vt:lpwstr>
  </property>
</Properties>
</file>