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E5D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00"/>
        <w:ind w:left="0" w:leftChars="0" w:right="0" w:rightChars="0" w:firstLine="0" w:firstLineChars="0"/>
        <w:jc w:val="left"/>
        <w:textAlignment w:val="bottom"/>
        <w:rPr>
          <w:rFonts w:hint="eastAsia"/>
          <w:b/>
          <w:bCs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0"/>
          <w:szCs w:val="20"/>
          <w:lang w:val="en-GB" w:eastAsia="zh-CN" w:bidi="ar"/>
        </w:rPr>
        <w:t>Supplementary material</w:t>
      </w:r>
      <w:bookmarkStart w:id="0" w:name="_GoBack"/>
      <w:bookmarkEnd w:id="0"/>
    </w:p>
    <w:p w14:paraId="7186E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/>
          <w:bCs/>
          <w:vertAlign w:val="superscript"/>
          <w:lang w:val="en-US" w:eastAsia="zh-CN"/>
        </w:rPr>
      </w:pPr>
      <w:r>
        <w:rPr>
          <w:rFonts w:hint="eastAsia"/>
          <w:b/>
          <w:bCs/>
          <w:lang w:val="en-US" w:eastAsia="zh-CN"/>
        </w:rPr>
        <w:t>Yandi Peng</w:t>
      </w:r>
      <w:r>
        <w:rPr>
          <w:rFonts w:hint="eastAsia"/>
          <w:b/>
          <w:bCs/>
          <w:vertAlign w:val="superscript"/>
          <w:lang w:val="en-US" w:eastAsia="zh-CN"/>
        </w:rPr>
        <w:t>1,3</w:t>
      </w:r>
      <w:r>
        <w:rPr>
          <w:rFonts w:hint="eastAsia"/>
          <w:b/>
          <w:bCs/>
          <w:lang w:val="en-US" w:eastAsia="zh-CN"/>
        </w:rPr>
        <w:t>,</w:t>
      </w:r>
      <w:r>
        <w:rPr>
          <w:rFonts w:hint="eastAsia"/>
          <w:b/>
          <w:bCs/>
        </w:rPr>
        <w:t>Zhuoma</w:t>
      </w:r>
      <w:r>
        <w:rPr>
          <w:rFonts w:hint="eastAsia"/>
          <w:b/>
          <w:bCs/>
          <w:lang w:val="en-US" w:eastAsia="zh-CN"/>
        </w:rPr>
        <w:t xml:space="preserve"> C</w:t>
      </w:r>
      <w:r>
        <w:rPr>
          <w:rFonts w:hint="eastAsia"/>
          <w:b/>
          <w:bCs/>
        </w:rPr>
        <w:t>isang</w:t>
      </w:r>
      <w:r>
        <w:rPr>
          <w:rFonts w:hint="eastAsia"/>
          <w:b/>
          <w:bCs/>
          <w:vertAlign w:val="superscript"/>
        </w:rPr>
        <w:t>1</w:t>
      </w:r>
      <w:r>
        <w:rPr>
          <w:rFonts w:hint="eastAsia"/>
          <w:b/>
          <w:bCs/>
          <w:lang w:val="en-US" w:eastAsia="zh-CN"/>
        </w:rPr>
        <w:t>,</w:t>
      </w:r>
      <w:r>
        <w:rPr>
          <w:rFonts w:hint="eastAsia"/>
          <w:b/>
          <w:bCs/>
        </w:rPr>
        <w:t>Yangji Cidan</w:t>
      </w:r>
      <w:r>
        <w:rPr>
          <w:rFonts w:hint="eastAsia"/>
          <w:b/>
          <w:bCs/>
          <w:vertAlign w:val="superscript"/>
        </w:rPr>
        <w:t>1</w:t>
      </w:r>
      <w:r>
        <w:rPr>
          <w:rFonts w:hint="eastAsia"/>
          <w:b/>
          <w:bCs/>
          <w:lang w:val="en-US" w:eastAsia="zh-CN"/>
        </w:rPr>
        <w:t>,</w:t>
      </w:r>
      <w:r>
        <w:rPr>
          <w:rFonts w:hint="eastAsia"/>
          <w:b/>
          <w:bCs/>
        </w:rPr>
        <w:t xml:space="preserve"> Guifang Liu</w:t>
      </w:r>
      <w:r>
        <w:rPr>
          <w:rFonts w:hint="eastAsia"/>
          <w:b/>
          <w:bCs/>
          <w:vertAlign w:val="superscript"/>
        </w:rPr>
        <w:t>1</w:t>
      </w:r>
      <w:r>
        <w:rPr>
          <w:rFonts w:hint="eastAsia"/>
          <w:b/>
          <w:bCs/>
          <w:lang w:val="en-US" w:eastAsia="zh-CN"/>
        </w:rPr>
        <w:t>,</w:t>
      </w:r>
      <w:r>
        <w:rPr>
          <w:rFonts w:hint="eastAsia"/>
          <w:b/>
          <w:bCs/>
        </w:rPr>
        <w:t xml:space="preserve"> Dan Wu</w:t>
      </w:r>
      <w:r>
        <w:rPr>
          <w:rFonts w:hint="eastAsia"/>
          <w:b/>
          <w:bCs/>
          <w:vertAlign w:val="superscript"/>
        </w:rPr>
        <w:t>1</w:t>
      </w:r>
      <w:r>
        <w:rPr>
          <w:rFonts w:hint="eastAsia"/>
          <w:b/>
          <w:bCs/>
          <w:lang w:val="en-US" w:eastAsia="zh-CN"/>
        </w:rPr>
        <w:t>,</w:t>
      </w:r>
      <w:r>
        <w:rPr>
          <w:rFonts w:hint="eastAsia"/>
          <w:b/>
          <w:bCs/>
        </w:rPr>
        <w:t xml:space="preserve"> Fei Gao</w:t>
      </w:r>
      <w:r>
        <w:rPr>
          <w:rFonts w:hint="eastAsia"/>
          <w:b/>
          <w:bCs/>
          <w:vertAlign w:val="superscript"/>
        </w:rPr>
        <w:t>2</w:t>
      </w:r>
      <w:r>
        <w:rPr>
          <w:rFonts w:hint="eastAsia"/>
          <w:b/>
          <w:bCs/>
        </w:rPr>
        <w:t>, Shijun Wen</w:t>
      </w:r>
      <w:r>
        <w:rPr>
          <w:rFonts w:hint="eastAsia"/>
          <w:b/>
          <w:bCs/>
          <w:vertAlign w:val="superscript"/>
        </w:rPr>
        <w:t>2</w:t>
      </w:r>
      <w:r>
        <w:rPr>
          <w:rFonts w:hint="eastAsia"/>
          <w:b/>
          <w:bCs/>
          <w:lang w:val="en-US" w:eastAsia="zh-CN"/>
        </w:rPr>
        <w:t xml:space="preserve"> and</w:t>
      </w:r>
      <w:r>
        <w:rPr>
          <w:rFonts w:hint="eastAsia"/>
          <w:b/>
          <w:bCs/>
        </w:rPr>
        <w:t xml:space="preserve"> Yanbin Zhu</w:t>
      </w:r>
      <w:r>
        <w:rPr>
          <w:rFonts w:hint="eastAsia"/>
          <w:b/>
          <w:bCs/>
          <w:vertAlign w:val="superscript"/>
        </w:rPr>
        <w:t>1</w:t>
      </w:r>
      <w:r>
        <w:rPr>
          <w:rFonts w:hint="eastAsia"/>
          <w:b/>
          <w:bCs/>
          <w:vertAlign w:val="superscript"/>
          <w:lang w:val="en-US" w:eastAsia="zh-CN"/>
        </w:rPr>
        <w:t>*</w:t>
      </w:r>
    </w:p>
    <w:p w14:paraId="7D88B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/>
          <w:bCs/>
          <w:vertAlign w:val="superscript"/>
          <w:lang w:val="en-US" w:eastAsia="zh-CN"/>
        </w:rPr>
      </w:pPr>
    </w:p>
    <w:p w14:paraId="1BCA11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425" w:leftChars="0" w:hanging="425" w:firstLineChars="0"/>
        <w:textAlignment w:val="auto"/>
        <w:rPr>
          <w:rFonts w:hint="default"/>
          <w:i/>
          <w:iCs/>
          <w:lang w:val="en-US"/>
        </w:rPr>
      </w:pPr>
      <w:r>
        <w:rPr>
          <w:rFonts w:hint="default"/>
          <w:i/>
          <w:iCs/>
          <w:lang w:val="en-US"/>
        </w:rPr>
        <w:t>Institute of Animal Husbandry and Veterinary Medicine, Xizang Academy of Agriculture and Animal Husbandry Sciences, Lhasa 850009, China</w:t>
      </w:r>
    </w:p>
    <w:p w14:paraId="61B034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425" w:leftChars="0" w:hanging="425" w:firstLineChars="0"/>
        <w:textAlignment w:val="auto"/>
        <w:rPr>
          <w:rFonts w:hint="eastAsia"/>
          <w:i/>
          <w:iCs/>
          <w:lang w:val="en-US" w:eastAsia="zh-CN"/>
        </w:rPr>
      </w:pPr>
      <w:r>
        <w:rPr>
          <w:rFonts w:hint="default"/>
          <w:i/>
          <w:iCs/>
          <w:lang w:val="en-US"/>
        </w:rPr>
        <w:t>Tibet Agri-Investment Lingmu Breeding Co., Ltd</w:t>
      </w:r>
      <w:r>
        <w:rPr>
          <w:rFonts w:hint="eastAsia"/>
          <w:i/>
          <w:iCs/>
          <w:lang w:val="en-US" w:eastAsia="zh-CN"/>
        </w:rPr>
        <w:t>，Lhasa 850000，China</w:t>
      </w:r>
    </w:p>
    <w:p w14:paraId="32EABF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425" w:leftChars="0" w:hanging="425" w:firstLineChars="0"/>
        <w:textAlignment w:val="auto"/>
        <w:rPr>
          <w:rFonts w:hint="default"/>
          <w:i/>
          <w:iCs/>
          <w:lang w:val="en-US" w:eastAsia="zh-CN"/>
        </w:rPr>
      </w:pPr>
      <w:r>
        <w:rPr>
          <w:rFonts w:hint="default"/>
          <w:i/>
          <w:iCs/>
          <w:lang w:val="en-US" w:eastAsia="zh-CN"/>
        </w:rPr>
        <w:t>College of Agriculture and Biology, Liaocheng University, Liaocheng 252059, China.</w:t>
      </w:r>
    </w:p>
    <w:p w14:paraId="2AADAE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cs="Times New Roman"/>
          <w:color w:val="auto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0"/>
          <w:lang w:val="en-US" w:eastAsia="zh-CN" w:bidi="ar"/>
        </w:rPr>
        <w:t xml:space="preserve">*Corresponding </w:t>
      </w:r>
      <w:r>
        <w:rPr>
          <w:rFonts w:ascii="Times New Roman" w:hAnsi="Times New Roman" w:eastAsia="宋体" w:cs="Times New Roman"/>
          <w:color w:val="auto"/>
          <w:sz w:val="20"/>
          <w:szCs w:val="20"/>
          <w:lang w:val="en-US" w:bidi="ar"/>
        </w:rPr>
        <w:t>author:</w:t>
      </w:r>
      <w:r>
        <w:rPr>
          <w:rFonts w:hint="eastAsia" w:cs="Times New Roman"/>
          <w:color w:val="auto"/>
          <w:sz w:val="20"/>
          <w:szCs w:val="20"/>
          <w:lang w:val="en-US" w:eastAsia="zh-CN" w:bidi="ar"/>
        </w:rPr>
        <w:t xml:space="preserve"> Yanbin Zhu. Zhuyanbin126@126.com.</w:t>
      </w:r>
    </w:p>
    <w:p w14:paraId="5DAE0CBC">
      <w:pPr>
        <w:pStyle w:val="2"/>
        <w:bidi w:val="0"/>
        <w:rPr>
          <w:rFonts w:hint="eastAsia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B7B464">
      <w:pPr>
        <w:pStyle w:val="2"/>
        <w:bidi w:val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  <w:r>
        <w:rPr>
          <w:rFonts w:hint="eastAsia"/>
          <w:b/>
          <w:bCs/>
          <w:lang w:val="en-US" w:eastAsia="zh-CN"/>
        </w:rPr>
        <w:t xml:space="preserve">Table S1 </w:t>
      </w:r>
      <w:r>
        <w:t>The rumen fluid of yak calves supplemented with YC showed significantly differential metabolites.</w:t>
      </w:r>
    </w:p>
    <w:tbl>
      <w:tblPr>
        <w:tblStyle w:val="5"/>
        <w:tblW w:w="10630" w:type="dxa"/>
        <w:tblInd w:w="-1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0"/>
        <w:gridCol w:w="1400"/>
        <w:gridCol w:w="1461"/>
        <w:gridCol w:w="912"/>
        <w:gridCol w:w="1167"/>
        <w:gridCol w:w="710"/>
        <w:gridCol w:w="1150"/>
        <w:gridCol w:w="1010"/>
      </w:tblGrid>
      <w:tr w14:paraId="7E22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bottom"/>
          </w:tcPr>
          <w:p w14:paraId="010B5C73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Metabolites</w:t>
            </w:r>
          </w:p>
        </w:tc>
        <w:tc>
          <w:tcPr>
            <w:tcW w:w="14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5D762BC5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Compound </w:t>
            </w:r>
            <w:r>
              <w:rPr>
                <w:rFonts w:hint="default"/>
                <w:b/>
                <w:bCs/>
                <w:lang w:val="en-US" w:eastAsia="zh-CN"/>
              </w:rPr>
              <w:t>ID</w:t>
            </w:r>
          </w:p>
        </w:tc>
        <w:tc>
          <w:tcPr>
            <w:tcW w:w="14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2163893B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Formula</w:t>
            </w:r>
          </w:p>
        </w:tc>
        <w:tc>
          <w:tcPr>
            <w:tcW w:w="9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30170339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m/z</w:t>
            </w:r>
          </w:p>
        </w:tc>
        <w:tc>
          <w:tcPr>
            <w:tcW w:w="116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435E44F4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Retention time (min)</w:t>
            </w:r>
          </w:p>
        </w:tc>
        <w:tc>
          <w:tcPr>
            <w:tcW w:w="71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09EFBB15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VIP</w:t>
            </w:r>
          </w:p>
        </w:tc>
        <w:tc>
          <w:tcPr>
            <w:tcW w:w="11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2E17695F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FC</w:t>
            </w:r>
          </w:p>
        </w:tc>
        <w:tc>
          <w:tcPr>
            <w:tcW w:w="101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 w14:paraId="58C20578">
            <w:pPr>
              <w:pStyle w:val="3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lang w:val="en-US" w:eastAsia="zh-CN"/>
              </w:rPr>
              <w:t>P</w:t>
            </w:r>
            <w:r>
              <w:rPr>
                <w:rFonts w:hint="default"/>
                <w:b/>
                <w:bCs/>
                <w:lang w:val="en-US" w:eastAsia="zh-CN"/>
              </w:rPr>
              <w:t>-value</w:t>
            </w:r>
          </w:p>
        </w:tc>
      </w:tr>
      <w:tr w14:paraId="22C7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FB516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Glycerophospholipids</w:t>
            </w:r>
          </w:p>
        </w:tc>
      </w:tr>
      <w:tr w14:paraId="5610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A6540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PHOOA-PE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706E6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FT7953NR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B8396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C29H54NO10P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5ABFB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588.33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A8CE9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12.05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4DB47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2.57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D099E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1717.51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61909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113BE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926FA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PA(10:0/i-12:0)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452CC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FT7453PR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C1181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C25H49O8P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0FC85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531.31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357C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12.00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42A1F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C51DA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984.06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5FF42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0175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87155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PC(12:0/0:0)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E7DA3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FT6470PR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37406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C20H42NO7P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C9A05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440.28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DD5B6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8.72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D1D33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2E598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1393.14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72870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5454D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47CA4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PG(14:1/12:0)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17D50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FT8321PR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09829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C32H61O10P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4D39E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659.39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B4811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12.64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CF54A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140A3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1306.74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6BB35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AE1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4CBA0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PE(O-18:1/0:0)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DA9CF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FT6595NR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DB65D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C23H48NO6P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7ED42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464.31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E6D3C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11.88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F2C0F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905EB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2017.75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EA806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600D3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4E9C2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LysoPC(14:0/0:0)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3F90C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FT6828PR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86277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C22H46NO7P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D8AAE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468.31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98ADA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9.84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8486D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F5519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2012.23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8F4FA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5E17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5916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LysoPC(0:0/18:0)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56C92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FT7613PR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A0243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C26H54NO7P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1C668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546.35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E5ADC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11.46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ABCE6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2.57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CA761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1925.20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EF085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2B28E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88450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PC(O-18:1/0:0)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8FFFF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FT7259PR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C03D4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C26H54NO6P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BE59B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508.38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6B878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12.05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CF4E2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2.61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83CFC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3101.60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92365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0.003 </w:t>
            </w:r>
          </w:p>
        </w:tc>
      </w:tr>
      <w:tr w14:paraId="349F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A88D6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LysoPC(18:0/0:0)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84062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FT7612PR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2A4F4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C26H54NO7P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70DDF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546.35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B3F16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11.68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C01AE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B6A47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2619.34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A03A5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147EF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143F3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PE(19:1/0:0)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83AB4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FT7088PR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64618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C24H48NO7P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83571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494.32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F0CA5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11.37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949EC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2.90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6D31B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11246.80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DB46E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5E83B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4A04B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PC(P-15:0/0:0)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D0126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FT6801PR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BAED9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C23H48NO6P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55368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466.33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CDC49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10.44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4B3DA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D4A8B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6955.76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1BA0A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23C2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2872E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LysoPE(20:3/0:0)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FAE76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FT7359PR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B5130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C25H46NO7P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FA4E6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521.34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7BB3C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10.95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3719B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2D6BE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1960.53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ADD8D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0726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EE091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PC(18:3/0:0)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BE50C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FT7327PR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C1A1D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C26H48NO7P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A787F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518.32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D0D82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9.97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41DC9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2.77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EB0E6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8665.39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EA30C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221D1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0A136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LysoPE(20:1/0:0)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F7A45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FT7256PR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F2844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C25H50NO7P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12934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508.34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5C3F7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11.52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D87AC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2.98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CE8AF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20710.07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FC3D6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BFF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83712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LysoPC(17:0/0:0)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2A85D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FT7280PR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CE2B9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C25H52NO7P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FBEA9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510.36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AB570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11.15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6C81B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87ABF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3737.04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78A7B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 </w:t>
            </w:r>
          </w:p>
        </w:tc>
      </w:tr>
      <w:tr w14:paraId="2E409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FDB79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PC(18:1/0:0)[rac]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4755A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FT7295NR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8F995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C26H52NO7P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55912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520.34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C56BA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12.05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5F4D5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2.92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7ECA8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12659.21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636BC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AAB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625EE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LysoPE(P-18:1/0:0)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30E9C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FT6773PR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60B08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C23H46NO6P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10470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464.31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A981F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11.12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079FE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2.90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331F4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12256.89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0D254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78DB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2F5B5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LysoPC(P-16:0/0:0)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162B6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FT6947PR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783F3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C24H50NO6P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040E9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480.34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FEAF7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10.97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9FF0F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2.94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C7504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19481.25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CFA13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 </w:t>
            </w:r>
          </w:p>
        </w:tc>
      </w:tr>
      <w:tr w14:paraId="58236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962C7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LysoPC(P-18:1/0:0)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9F9E8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FT7237PR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F9FEA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C26H52NO6P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4D428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506.36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C5186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11.18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A8801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2.73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0F0B4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5117.23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62562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5D62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F4446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Fatty Acyls</w:t>
            </w:r>
          </w:p>
        </w:tc>
      </w:tr>
      <w:tr w14:paraId="71B4C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FEC6E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Panaxydol linoleate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7815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FT7559PR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CFF5C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C35H54O3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06964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540.44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6CAE3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15.00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2ED04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3103D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1649.11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935D1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6609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68A46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DG(2:0/0:0/22:6-OH)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662B4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FT6915PR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332A0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C27H40O6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A151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478.32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06C8D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11.97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830FC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2.53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D3150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1383.04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BC3FE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6797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A1CCD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(9Z,11E,13Z)-Octadeca-9,11,13-trienoylcarnitine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ACFFA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FT6722PR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A619E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C25H43NO4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FB0D1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460.28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BF81D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9.88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6F480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65D7B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1950.56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48944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762D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5A15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N-(hexadecanoyl)-deoxysphing-4-enine-1-sulfonate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CFA88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FT8158PR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C65FA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C34H67NO5S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C4CB3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624.46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818CE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14.41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90186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A3936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1435.70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D7481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6F22C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D7AC3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O-arachidonoylcarnitine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D18F1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FT7025PR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6BF33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C27H45NO4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CCDC0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486.30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B93BC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11.11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67332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FEF17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3969.92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9F9C8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6064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E4E5F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13-MethylHexadecanoylcarnitine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4920D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FT6626PR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6B335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C24H47NO4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5B73F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452.31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2617A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11.03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05C58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53B9E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3046.91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350E7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F6D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EFB91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DG(18:4n3/0:0/20:5n3)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3B3B3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FT8315PR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A0ADF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C41H62O5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63819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657.45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9E7A0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14.24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EFC64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2.74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025ED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3298.11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BD000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6CB0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1D844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DG(18:4n3/0:0/20:4n3)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B316E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FT8322PR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D3599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C41H64O5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2AC04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659.47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9F10B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14.11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41D17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55DF9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2114.91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3E8FB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03E4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DFACF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SCHEMBL13694070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A59A0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FT6149NR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FEA88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C22H41NO5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272B9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434.27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356DD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10.35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8B06D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2.67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8F3CF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3670.30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1E6F3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02E3A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473BF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PA(8:0/5-iso PGF2VI)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41EEF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FT8154PR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BC80E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C29H51O11P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AD388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624.35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C3C79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11.60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B514C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2.60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96993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1467.47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1DADB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500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43244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(16Z)-14-Hydroxydocos-16-enoylcarnitine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9015B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FT7522PR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1A3E1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C29H55NO5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52D5E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536.37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DB62B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12.67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18BDE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2.81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D8448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6787.71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50E3C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B3AB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83C48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Prenol lipids</w:t>
            </w:r>
          </w:p>
        </w:tc>
      </w:tr>
      <w:tr w14:paraId="6BEB4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0ADB7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Phorbolol myristate acetate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8ACA1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FT8312PR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FC569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C36H58O8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04229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657.38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F3A4E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12.83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D1F79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34BB1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1643.68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E51FC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6FA4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A5E74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OH-Demethylspheroidene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7D1E0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FT8096PR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0FFF0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C40H60O2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F9875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611.42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CCE33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12.14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F6B80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2.54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41172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1159.40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8F831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549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D2D0C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2alpha-Hydroxypyracrenic acid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6ABAE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FT8283PR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239C1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C39H54O7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9387B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652.42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4EE04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12.84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C91B3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70DA1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1186.70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8B8B5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AC5E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0DE61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2-beta-Ethoxydihydrophytuberin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A2BA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FT5378PR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D2C6F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C19H32O5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58BD8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358.26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31B3E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11.35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8054E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669A9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2005.70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5AB9E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 </w:t>
            </w:r>
          </w:p>
        </w:tc>
      </w:tr>
      <w:tr w14:paraId="3584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6CFA2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Astaxanthin-5,6-peroxide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CB8DC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FT8183PR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3A140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C40H52O6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F52A5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629.38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16ADA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12.96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9F500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2.79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33447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4598.96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C3DD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7398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63842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Steroids and steroid derivatives</w:t>
            </w:r>
          </w:p>
        </w:tc>
      </w:tr>
      <w:tr w14:paraId="5960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4D391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(5alpha)-23-Methyl-4-aza-21-norchol-1-ene-3,20-dione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4332C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FT5697PR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376DE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C23H35NO2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E9E2F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380.26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CBABB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9.53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CA97E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44A0B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1549.43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2595C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3523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AF850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(4alpha,5alpha)-4,14-Dimethyl-9,19-cyclocholest-20-en-3-one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82902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FT6076PR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E94F6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C29H46O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B9B8B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411.36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AC20B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13.30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C0BA3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3A43C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1205.21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01642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571C9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0EDF4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Deoxycholylisoleucine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39A38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FT7599PR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5AC6A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C30H51NO5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817D0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544.34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D652A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12.05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00978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2.81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9E554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7229.33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D068D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0.001 </w:t>
            </w:r>
          </w:p>
        </w:tc>
      </w:tr>
      <w:tr w14:paraId="2659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79C55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Carboxylic acids and derivatives</w:t>
            </w:r>
          </w:p>
        </w:tc>
      </w:tr>
      <w:tr w14:paraId="12E3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D24FC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SCHEMBL22457451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C3D31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FT5895PR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EE035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C20H39NO4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AF107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396.25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79542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9.60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291E1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CDD0C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1980.73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BA88A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98FF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9AE21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N-Docosahexaenoyl Lysine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57244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FT6935PR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ECA75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C28H44N2O3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E21D8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479.33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4D238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10.66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3C347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4F045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2574.58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8C92D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E72B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8785E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N-Palmitoyl Glutamic acid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EFDFF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FT5766PR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28945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C21H39NO5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8642E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386.29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72232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11.35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96186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2ABD9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1683.91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97D89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7F9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DFD15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Benzene and substituted derivatives</w:t>
            </w:r>
          </w:p>
        </w:tc>
      </w:tr>
      <w:tr w14:paraId="101F5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3DDB2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Almitrine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338D3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FT6768NR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A3BB4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C26H29F2N7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34CD5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476.24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AA8056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10.05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E3466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2.53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D0032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1489.41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B03D9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 </w:t>
            </w:r>
          </w:p>
        </w:tc>
      </w:tr>
      <w:tr w14:paraId="05F7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3D9DA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Trioctyl trimellitate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41FEE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FT7942PR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D5AFD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C33H54O6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BDD92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585.36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AC17B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13.65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AC272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F7FB9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1672.13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DEC66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 </w:t>
            </w:r>
          </w:p>
        </w:tc>
      </w:tr>
      <w:tr w14:paraId="2118A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59301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Phenylpropanoic acids</w:t>
            </w:r>
          </w:p>
        </w:tc>
      </w:tr>
      <w:tr w14:paraId="30D5A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A2196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3-{2-[3-(4-Pentylcarbamoyl-oxazol-2-yl)-7-oxa-bicyclo[2.2.1]hept-2-ylmethyl]-phenyl}-propionic acid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1939B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FT6694PR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A1A46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C25H32N2O5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B35C7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458.26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C4146D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10.36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5859F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F93C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3780.99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C2587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51B1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76CE8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Benzopyrans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1D709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5A79A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E8302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3AEFE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B3301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E1B066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86274">
            <w:pPr>
              <w:pStyle w:val="3"/>
              <w:bidi w:val="0"/>
              <w:rPr>
                <w:rFonts w:hint="default"/>
                <w:lang w:val="en-US" w:eastAsia="zh-CN"/>
              </w:rPr>
            </w:pPr>
          </w:p>
        </w:tc>
      </w:tr>
      <w:tr w14:paraId="3C0BC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214C87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Calofloride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0A193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FT7157PR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FC3C8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C30H36O5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111F90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499.25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11421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11.96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18B97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D1E18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1332.07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A0E6F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729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021D0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Organooxygen compounds</w:t>
            </w:r>
          </w:p>
        </w:tc>
      </w:tr>
      <w:tr w14:paraId="2B2B9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38EF53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10-Deoxymethymycin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291AF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FT6912NR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13F7D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C25H43NO6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099B6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488.28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468C1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10.84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6B0C7A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2.59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382AC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1948.29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970DE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32FBD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9B496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Glycerolipids</w:t>
            </w:r>
          </w:p>
        </w:tc>
      </w:tr>
      <w:tr w14:paraId="6EC6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05F3F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MG(0:0/21:0)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1E59F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FT6214PR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95705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C24H48O4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19788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423.35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9968F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14.98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6AF62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E91C7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1990.03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C9DF3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2C54F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E93AAD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Flavonoids</w:t>
            </w:r>
          </w:p>
        </w:tc>
      </w:tr>
      <w:tr w14:paraId="5C3BF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FC25C7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catechin 3-octadecanoate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09AF9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FT7731PR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570A2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C33H48O7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C1D19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557.35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5AEB2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12.97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F5B119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2.53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DDF78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1040.67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B2267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72C99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5CFC8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Phenols</w:t>
            </w:r>
          </w:p>
        </w:tc>
      </w:tr>
      <w:tr w14:paraId="69A7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D3FF2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Adipostatin 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71BEC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FT5754NR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3D842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C24H42O2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BACFA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407.32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A4BFA5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14.60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E834C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2.60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115F0F1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1733.14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B15AEF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462E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5F18A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Sphingolipids</w:t>
            </w:r>
          </w:p>
        </w:tc>
      </w:tr>
      <w:tr w14:paraId="01FF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872B8C2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C19 Sphingosine-1-phosphate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16319D9C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FT5864PR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739E292B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C19H40NO5P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EF0B478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394.27 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4BEBCC34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9.96 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736438E6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2.66 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160F0B83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4071.44 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6DFC389E"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&lt;</w:t>
            </w:r>
            <w:r>
              <w:rPr>
                <w:rFonts w:hint="default"/>
                <w:lang w:val="en-US" w:eastAsia="zh-CN"/>
              </w:rPr>
              <w:t>0.00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</w:tbl>
    <w:p w14:paraId="595264E9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VIP, variable importance in the projection.</w:t>
      </w:r>
    </w:p>
    <w:p w14:paraId="189235AA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FC (Fold Change): the ratio of the average peak area (natural grazing / YC-supplemented).</w:t>
      </w:r>
    </w:p>
    <w:p w14:paraId="468B701C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PA, Phosphatidic; PC, Phosphatidylcholine; PG, Phosphatidylglycerol; PE, Phosphatidylethanolamine; DG,Diacylglycerol</w:t>
      </w:r>
    </w:p>
    <w:p w14:paraId="79605679"/>
    <w:p w14:paraId="3D4B2DB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4310" cy="3296285"/>
            <wp:effectExtent l="0" t="0" r="13970" b="10795"/>
            <wp:docPr id="1" name="图片 1" descr="permutation-YEC-vs-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ermutation-YEC-vs-CO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CA45E">
      <w:pPr>
        <w:rPr>
          <w:rFonts w:hint="default" w:ascii="Times New Roman" w:hAnsi="Times New Roman" w:eastAsia="宋体" w:cstheme="minorBidi"/>
          <w:kern w:val="2"/>
          <w:sz w:val="17"/>
          <w:szCs w:val="18"/>
          <w:lang w:val="en-US" w:eastAsia="zh-CN" w:bidi="ar-SA"/>
        </w:rPr>
      </w:pPr>
      <w:r>
        <w:rPr>
          <w:rFonts w:hint="eastAsia" w:ascii="Times New Roman" w:hAnsi="Times New Roman" w:eastAsia="宋体" w:cstheme="minorBidi"/>
          <w:kern w:val="2"/>
          <w:sz w:val="17"/>
          <w:szCs w:val="18"/>
          <w:lang w:val="en-US" w:eastAsia="zh-CN" w:bidi="ar-SA"/>
        </w:rPr>
        <w:t>Fig.</w:t>
      </w:r>
      <w:r>
        <w:rPr>
          <w:rFonts w:hint="eastAsia" w:cstheme="minorBidi"/>
          <w:kern w:val="2"/>
          <w:sz w:val="17"/>
          <w:szCs w:val="18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theme="minorBidi"/>
          <w:kern w:val="2"/>
          <w:sz w:val="17"/>
          <w:szCs w:val="18"/>
          <w:lang w:val="en-US" w:eastAsia="zh-CN" w:bidi="ar-SA"/>
        </w:rPr>
        <w:t>S1 Response Permutation Testing (RPT)</w:t>
      </w:r>
      <w:r>
        <w:rPr>
          <w:rFonts w:hint="eastAsia" w:cstheme="minorBidi"/>
          <w:kern w:val="2"/>
          <w:sz w:val="17"/>
          <w:szCs w:val="18"/>
          <w:lang w:val="en-US" w:eastAsia="zh-CN" w:bidi="ar-SA"/>
        </w:rPr>
        <w:t>:</w:t>
      </w:r>
      <w:r>
        <w:rPr>
          <w:rFonts w:hint="eastAsia" w:ascii="Times New Roman" w:hAnsi="Times New Roman" w:eastAsia="宋体" w:cstheme="minorBidi"/>
          <w:kern w:val="2"/>
          <w:sz w:val="17"/>
          <w:szCs w:val="18"/>
          <w:lang w:val="en-US" w:eastAsia="zh-CN" w:bidi="ar-SA"/>
        </w:rPr>
        <w:t xml:space="preserve"> R2 and Q2: Used for Response Permutation Testing (RPT) to evaluate whether the model is overfitted. R2 represents the explanatory power of the model, and Q2 represents the predictive ability of the model.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47F67B"/>
    <w:multiLevelType w:val="singleLevel"/>
    <w:tmpl w:val="EB47F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C4D42"/>
    <w:rsid w:val="00684ED8"/>
    <w:rsid w:val="096239C7"/>
    <w:rsid w:val="0A2811D3"/>
    <w:rsid w:val="0C3869C6"/>
    <w:rsid w:val="0EAF5A6A"/>
    <w:rsid w:val="0F180451"/>
    <w:rsid w:val="14F04D20"/>
    <w:rsid w:val="1B590A8F"/>
    <w:rsid w:val="1B751B94"/>
    <w:rsid w:val="23DC4D42"/>
    <w:rsid w:val="2AE71D3E"/>
    <w:rsid w:val="2BC43A31"/>
    <w:rsid w:val="36650588"/>
    <w:rsid w:val="3ADE3B16"/>
    <w:rsid w:val="3D581786"/>
    <w:rsid w:val="409A55D1"/>
    <w:rsid w:val="41045A73"/>
    <w:rsid w:val="415A2E81"/>
    <w:rsid w:val="41992FBE"/>
    <w:rsid w:val="4B5E6F38"/>
    <w:rsid w:val="51BD291E"/>
    <w:rsid w:val="54D43F05"/>
    <w:rsid w:val="572044E7"/>
    <w:rsid w:val="5A966B62"/>
    <w:rsid w:val="5B253396"/>
    <w:rsid w:val="5C8362F7"/>
    <w:rsid w:val="5F6B541B"/>
    <w:rsid w:val="6E8009A4"/>
    <w:rsid w:val="6F9C38D6"/>
    <w:rsid w:val="704F2DFA"/>
    <w:rsid w:val="70E0157F"/>
    <w:rsid w:val="75061DD7"/>
    <w:rsid w:val="75BD3A65"/>
    <w:rsid w:val="785B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auto"/>
      <w:jc w:val="both"/>
    </w:pPr>
    <w:rPr>
      <w:rFonts w:ascii="Times New Roman" w:hAnsi="Times New Roman" w:eastAsia="宋体" w:cstheme="minorBidi"/>
      <w:kern w:val="2"/>
      <w:sz w:val="20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outlineLvl w:val="4"/>
    </w:pPr>
    <w:rPr>
      <w:rFonts w:ascii="Times New Roman" w:hAnsi="Times New Roman"/>
      <w:sz w:val="17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unhideWhenUsed/>
    <w:qFormat/>
    <w:uiPriority w:val="99"/>
    <w:pPr>
      <w:snapToGrid w:val="0"/>
      <w:ind w:firstLine="0" w:firstLineChars="0"/>
      <w:jc w:val="left"/>
    </w:pPr>
    <w:rPr>
      <w:rFonts w:ascii="Times New Roman" w:hAnsi="Times New Roman"/>
      <w:sz w:val="17"/>
      <w:szCs w:val="18"/>
    </w:rPr>
  </w:style>
  <w:style w:type="table" w:styleId="5">
    <w:name w:val="Table Grid"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2026-01-08T12:15:00Z</dcterms:created>
  <dc:creator>-</dc:creator>
  <cp:lastModifiedBy>-</cp:lastModifiedBy>
  <dcterms:modified xsi:type="dcterms:W3CDTF">2026-01-10T11:38:51Z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BE17330B0E22409AADF6F8708FCA2620_11</vt:lpwstr>
  </property>
  <property fmtid="{D5CDD505-2E9C-101B-9397-08002B2CF9AE}" pid="4" name="KSOTemplateDocerSaveRecord">
    <vt:lpwstr>eyJoZGlkIjoiZDdiMDI1ZmE4Yzk1ZGYwYzU4ODZhYmQxMGFiOTFhYzciLCJ1c2VySWQiOiI1NTE3NzEzMjMifQ==</vt:lpwstr>
  </property>
</Properties>
</file>