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35912">
      <w:pPr>
        <w:spacing w:before="312" w:beforeLines="100" w:after="312" w:afterLines="100" w:line="360" w:lineRule="auto"/>
        <w:jc w:val="center"/>
        <w:rPr>
          <w:rFonts w:ascii="Times New Roman" w:hAnsi="Times New Roman" w:eastAsia="宋体" w:cs="Times New Roman"/>
          <w:b/>
          <w:bCs/>
          <w:color w:val="auto"/>
          <w:sz w:val="24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</w:rPr>
        <w:t>Supplementary materials</w:t>
      </w:r>
      <w:bookmarkStart w:id="0" w:name="_GoBack"/>
      <w:bookmarkEnd w:id="0"/>
    </w:p>
    <w:p w14:paraId="0C221E9F">
      <w:pPr>
        <w:spacing w:before="312" w:beforeLines="100" w:after="312" w:afterLines="100" w:line="360" w:lineRule="auto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</w:rPr>
        <w:t>Supplementary figure legends</w:t>
      </w:r>
    </w:p>
    <w:p w14:paraId="07080953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</w:rPr>
        <w:t>Fig. S1</w:t>
      </w:r>
      <w:r>
        <w:rPr>
          <w:rFonts w:ascii="Times New Roman" w:hAnsi="Times New Roman" w:cs="Times New Roman"/>
          <w:bCs/>
          <w:color w:val="auto"/>
          <w:szCs w:val="21"/>
        </w:rPr>
        <w:t xml:space="preserve"> </w:t>
      </w:r>
      <w:r>
        <w:rPr>
          <w:rFonts w:ascii="Times New Roman" w:hAnsi="Times New Roman" w:cs="Times New Roman"/>
          <w:color w:val="auto"/>
          <w:szCs w:val="21"/>
        </w:rPr>
        <w:t>Precipitation and temperature conditions at the experimental site in Yuncheng, China.</w:t>
      </w:r>
    </w:p>
    <w:p w14:paraId="791BBED5">
      <w:pPr>
        <w:spacing w:before="312" w:beforeLines="100" w:after="312" w:afterLines="100" w:line="360" w:lineRule="auto"/>
        <w:rPr>
          <w:rFonts w:ascii="Times New Roman" w:hAnsi="Times New Roman" w:eastAsia="宋体" w:cs="Times New Roman"/>
          <w:b/>
          <w:bCs/>
          <w:color w:val="auto"/>
          <w:sz w:val="24"/>
        </w:rPr>
      </w:pPr>
    </w:p>
    <w:p w14:paraId="514A2254">
      <w:pPr>
        <w:spacing w:after="312" w:afterLines="100" w:line="360" w:lineRule="auto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</w:rPr>
        <w:t>Fig. S2</w:t>
      </w:r>
      <w:r>
        <w:rPr>
          <w:rFonts w:ascii="Times New Roman" w:hAnsi="Times New Roman" w:cs="Times New Roman"/>
          <w:color w:val="auto"/>
          <w:szCs w:val="21"/>
        </w:rPr>
        <w:t xml:space="preserve"> Compartment-specific and Core-pan gene signatures of rhizosphere and rhizoplane soils under </w:t>
      </w:r>
      <w:r>
        <w:rPr>
          <w:rFonts w:ascii="Times New Roman" w:hAnsi="Times New Roman" w:cs="Times New Roman"/>
          <w:i/>
          <w:iCs/>
          <w:color w:val="auto"/>
          <w:szCs w:val="21"/>
        </w:rPr>
        <w:t>Streptomyces pactum</w:t>
      </w:r>
      <w:r>
        <w:rPr>
          <w:rFonts w:ascii="Times New Roman" w:hAnsi="Times New Roman" w:cs="Times New Roman"/>
          <w:color w:val="auto"/>
          <w:szCs w:val="21"/>
        </w:rPr>
        <w:t xml:space="preserve"> Act12 inoculation. Act12R</w:t>
      </w:r>
      <w:r>
        <w:rPr>
          <w:rFonts w:hint="eastAsia" w:ascii="Times New Roman" w:hAnsi="Times New Roman" w:cs="Times New Roman"/>
          <w:color w:val="auto"/>
          <w:szCs w:val="21"/>
        </w:rPr>
        <w:t>,</w:t>
      </w:r>
      <w:r>
        <w:rPr>
          <w:rFonts w:ascii="Times New Roman" w:hAnsi="Times New Roman" w:cs="Times New Roman"/>
          <w:color w:val="auto"/>
          <w:szCs w:val="21"/>
        </w:rPr>
        <w:t xml:space="preserve"> </w:t>
      </w:r>
      <w:r>
        <w:rPr>
          <w:rFonts w:ascii="Times New Roman" w:hAnsi="Times New Roman" w:cs="Times New Roman"/>
          <w:color w:val="auto"/>
          <w:szCs w:val="21"/>
          <w:lang w:bidi="ar"/>
        </w:rPr>
        <w:t xml:space="preserve">rhizosphere of </w:t>
      </w:r>
      <w:r>
        <w:rPr>
          <w:rFonts w:ascii="Times New Roman" w:hAnsi="Times New Roman" w:cs="Times New Roman"/>
          <w:i/>
          <w:iCs/>
          <w:color w:val="auto"/>
          <w:szCs w:val="21"/>
        </w:rPr>
        <w:t>S. pactum</w:t>
      </w:r>
      <w:r>
        <w:rPr>
          <w:rFonts w:ascii="Times New Roman" w:hAnsi="Times New Roman" w:cs="Times New Roman"/>
          <w:color w:val="auto"/>
          <w:szCs w:val="21"/>
          <w:lang w:bidi="ar"/>
        </w:rPr>
        <w:t xml:space="preserve"> Act12-inoculated wheat</w:t>
      </w:r>
      <w:r>
        <w:rPr>
          <w:rFonts w:hint="eastAsia" w:ascii="Times New Roman" w:hAnsi="Times New Roman" w:cs="Times New Roman"/>
          <w:color w:val="auto"/>
          <w:szCs w:val="21"/>
        </w:rPr>
        <w:t>;</w:t>
      </w:r>
      <w:r>
        <w:rPr>
          <w:rFonts w:ascii="Times New Roman" w:hAnsi="Times New Roman" w:cs="Times New Roman"/>
          <w:color w:val="auto"/>
          <w:szCs w:val="21"/>
        </w:rPr>
        <w:t xml:space="preserve"> Act12S</w:t>
      </w:r>
      <w:r>
        <w:rPr>
          <w:rFonts w:hint="eastAsia" w:ascii="Times New Roman" w:hAnsi="Times New Roman" w:cs="Times New Roman"/>
          <w:color w:val="auto"/>
          <w:szCs w:val="21"/>
        </w:rPr>
        <w:t>,</w:t>
      </w:r>
      <w:r>
        <w:rPr>
          <w:rFonts w:ascii="Times New Roman" w:hAnsi="Times New Roman" w:cs="Times New Roman"/>
          <w:color w:val="auto"/>
          <w:szCs w:val="21"/>
        </w:rPr>
        <w:t xml:space="preserve"> </w:t>
      </w:r>
      <w:r>
        <w:rPr>
          <w:rFonts w:ascii="Times New Roman" w:hAnsi="Times New Roman" w:cs="Times New Roman"/>
          <w:color w:val="auto"/>
          <w:szCs w:val="21"/>
          <w:lang w:bidi="ar"/>
        </w:rPr>
        <w:t>rhizoplane</w:t>
      </w:r>
      <w:r>
        <w:rPr>
          <w:rFonts w:ascii="Times New Roman" w:hAnsi="Times New Roman" w:cs="Times New Roman"/>
          <w:color w:val="auto"/>
          <w:szCs w:val="21"/>
        </w:rPr>
        <w:t xml:space="preserve"> of </w:t>
      </w:r>
      <w:r>
        <w:rPr>
          <w:rFonts w:ascii="Times New Roman" w:hAnsi="Times New Roman" w:cs="Times New Roman"/>
          <w:i/>
          <w:iCs/>
          <w:color w:val="auto"/>
          <w:szCs w:val="21"/>
        </w:rPr>
        <w:t>S. pactum</w:t>
      </w:r>
      <w:r>
        <w:rPr>
          <w:rFonts w:ascii="Times New Roman" w:hAnsi="Times New Roman" w:cs="Times New Roman"/>
          <w:color w:val="auto"/>
          <w:szCs w:val="21"/>
        </w:rPr>
        <w:t xml:space="preserve"> Act12-inoculated wheat</w:t>
      </w:r>
      <w:r>
        <w:rPr>
          <w:rFonts w:hint="eastAsia" w:ascii="Times New Roman" w:hAnsi="Times New Roman" w:cs="Times New Roman"/>
          <w:color w:val="auto"/>
          <w:szCs w:val="21"/>
        </w:rPr>
        <w:t>;</w:t>
      </w:r>
      <w:r>
        <w:rPr>
          <w:rFonts w:ascii="Times New Roman" w:hAnsi="Times New Roman" w:cs="Times New Roman"/>
          <w:color w:val="auto"/>
          <w:szCs w:val="21"/>
        </w:rPr>
        <w:t xml:space="preserve"> CtrlR</w:t>
      </w:r>
      <w:r>
        <w:rPr>
          <w:rFonts w:hint="eastAsia" w:ascii="Times New Roman" w:hAnsi="Times New Roman" w:cs="Times New Roman"/>
          <w:color w:val="auto"/>
          <w:szCs w:val="21"/>
        </w:rPr>
        <w:t>,</w:t>
      </w:r>
      <w:r>
        <w:rPr>
          <w:rFonts w:ascii="Times New Roman" w:hAnsi="Times New Roman" w:cs="Times New Roman"/>
          <w:color w:val="auto"/>
          <w:szCs w:val="21"/>
        </w:rPr>
        <w:t xml:space="preserve"> rhizosphere of non-inoculated wheat</w:t>
      </w:r>
      <w:r>
        <w:rPr>
          <w:rFonts w:hint="eastAsia" w:ascii="Times New Roman" w:hAnsi="Times New Roman" w:cs="Times New Roman"/>
          <w:color w:val="auto"/>
          <w:szCs w:val="21"/>
        </w:rPr>
        <w:t>;</w:t>
      </w:r>
      <w:r>
        <w:rPr>
          <w:rFonts w:ascii="Times New Roman" w:hAnsi="Times New Roman" w:cs="Times New Roman"/>
          <w:color w:val="auto"/>
          <w:szCs w:val="21"/>
        </w:rPr>
        <w:t xml:space="preserve"> CtrlS</w:t>
      </w:r>
      <w:r>
        <w:rPr>
          <w:rFonts w:hint="eastAsia" w:ascii="Times New Roman" w:hAnsi="Times New Roman" w:cs="Times New Roman"/>
          <w:color w:val="auto"/>
          <w:szCs w:val="21"/>
        </w:rPr>
        <w:t>,</w:t>
      </w:r>
      <w:r>
        <w:rPr>
          <w:rFonts w:ascii="Times New Roman" w:hAnsi="Times New Roman" w:cs="Times New Roman"/>
          <w:color w:val="auto"/>
          <w:szCs w:val="21"/>
        </w:rPr>
        <w:t xml:space="preserve"> rhizoplane of non-inoculated wheat.</w:t>
      </w:r>
    </w:p>
    <w:p w14:paraId="3E060561">
      <w:pPr>
        <w:spacing w:before="312" w:beforeLines="100" w:after="312" w:afterLines="100" w:line="360" w:lineRule="auto"/>
        <w:rPr>
          <w:rFonts w:ascii="Times New Roman" w:hAnsi="Times New Roman" w:eastAsia="宋体" w:cs="Times New Roman"/>
          <w:b/>
          <w:bCs/>
          <w:color w:val="auto"/>
          <w:sz w:val="24"/>
        </w:rPr>
      </w:pPr>
    </w:p>
    <w:p w14:paraId="1D317447">
      <w:pPr>
        <w:spacing w:before="312" w:beforeLines="100" w:line="360" w:lineRule="auto"/>
        <w:jc w:val="lef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</w:rPr>
        <w:t>Fig. S3</w:t>
      </w:r>
      <w:r>
        <w:rPr>
          <w:rFonts w:ascii="Times New Roman" w:hAnsi="Times New Roman" w:cs="Times New Roman"/>
          <w:color w:val="auto"/>
          <w:szCs w:val="21"/>
        </w:rPr>
        <w:t xml:space="preserve"> Alpha diversity in root-associated soils affected by </w:t>
      </w:r>
      <w:r>
        <w:rPr>
          <w:rFonts w:ascii="Times New Roman" w:hAnsi="Times New Roman" w:cs="Times New Roman"/>
          <w:i/>
          <w:iCs/>
          <w:color w:val="auto"/>
          <w:szCs w:val="21"/>
        </w:rPr>
        <w:t>S. pactum</w:t>
      </w:r>
      <w:r>
        <w:rPr>
          <w:rFonts w:ascii="Times New Roman" w:hAnsi="Times New Roman" w:cs="Times New Roman"/>
          <w:color w:val="auto"/>
          <w:szCs w:val="21"/>
        </w:rPr>
        <w:t xml:space="preserve"> Act12 inoculation. * </w:t>
      </w:r>
      <w:r>
        <w:rPr>
          <w:rFonts w:ascii="Times New Roman" w:hAnsi="Times New Roman" w:cs="Times New Roman"/>
          <w:i/>
          <w:iCs/>
          <w:color w:val="auto"/>
          <w:szCs w:val="21"/>
        </w:rPr>
        <w:t>P</w:t>
      </w:r>
      <w:r>
        <w:rPr>
          <w:rFonts w:ascii="Times New Roman" w:hAnsi="Times New Roman" w:cs="Times New Roman"/>
          <w:color w:val="auto"/>
          <w:szCs w:val="21"/>
        </w:rPr>
        <w:t xml:space="preserve"> &lt; 0.05.</w:t>
      </w:r>
    </w:p>
    <w:p w14:paraId="5B5F4EDA">
      <w:pPr>
        <w:spacing w:before="312" w:beforeLines="100" w:after="312" w:afterLines="100" w:line="360" w:lineRule="auto"/>
        <w:rPr>
          <w:rFonts w:ascii="Times New Roman" w:hAnsi="Times New Roman" w:eastAsia="宋体" w:cs="Times New Roman"/>
          <w:b/>
          <w:bCs/>
          <w:color w:val="auto"/>
          <w:sz w:val="24"/>
        </w:rPr>
      </w:pPr>
    </w:p>
    <w:p w14:paraId="382DC16F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</w:rPr>
        <w:t>Fig. S4</w:t>
      </w:r>
      <w:r>
        <w:rPr>
          <w:rFonts w:ascii="Times New Roman" w:hAnsi="Times New Roman" w:cs="Times New Roman"/>
          <w:color w:val="auto"/>
          <w:szCs w:val="21"/>
        </w:rPr>
        <w:t xml:space="preserve"> Abundance changes of Actinomycetota and </w:t>
      </w:r>
      <w:r>
        <w:rPr>
          <w:rFonts w:ascii="Times New Roman" w:hAnsi="Times New Roman" w:cs="Times New Roman"/>
          <w:i/>
          <w:iCs/>
          <w:color w:val="auto"/>
          <w:szCs w:val="21"/>
        </w:rPr>
        <w:t xml:space="preserve">Streptomyces </w:t>
      </w:r>
      <w:r>
        <w:rPr>
          <w:rFonts w:ascii="Times New Roman" w:hAnsi="Times New Roman" w:cs="Times New Roman"/>
          <w:color w:val="auto"/>
          <w:szCs w:val="21"/>
        </w:rPr>
        <w:t xml:space="preserve">following </w:t>
      </w:r>
      <w:r>
        <w:rPr>
          <w:rFonts w:ascii="Times New Roman" w:hAnsi="Times New Roman" w:cs="Times New Roman"/>
          <w:i/>
          <w:iCs/>
          <w:color w:val="auto"/>
          <w:szCs w:val="21"/>
        </w:rPr>
        <w:t>S. pactum</w:t>
      </w:r>
      <w:r>
        <w:rPr>
          <w:rFonts w:ascii="Times New Roman" w:hAnsi="Times New Roman" w:cs="Times New Roman"/>
          <w:color w:val="auto"/>
          <w:szCs w:val="21"/>
        </w:rPr>
        <w:t xml:space="preserve"> Act12 inoculation. * </w:t>
      </w:r>
      <w:r>
        <w:rPr>
          <w:rFonts w:ascii="Times New Roman" w:hAnsi="Times New Roman" w:cs="Times New Roman"/>
          <w:i/>
          <w:iCs/>
          <w:color w:val="auto"/>
          <w:szCs w:val="21"/>
        </w:rPr>
        <w:t>P</w:t>
      </w:r>
      <w:r>
        <w:rPr>
          <w:rFonts w:ascii="Times New Roman" w:hAnsi="Times New Roman" w:cs="Times New Roman"/>
          <w:color w:val="auto"/>
          <w:szCs w:val="21"/>
        </w:rPr>
        <w:t xml:space="preserve"> &lt; 0.05.</w:t>
      </w:r>
    </w:p>
    <w:p w14:paraId="0DE5FCEB">
      <w:pPr>
        <w:spacing w:before="312" w:beforeLines="100" w:after="312" w:afterLines="100" w:line="360" w:lineRule="auto"/>
        <w:rPr>
          <w:rFonts w:ascii="Times New Roman" w:hAnsi="Times New Roman" w:eastAsia="宋体" w:cs="Times New Roman"/>
          <w:b/>
          <w:bCs/>
          <w:color w:val="auto"/>
          <w:sz w:val="24"/>
        </w:rPr>
      </w:pPr>
    </w:p>
    <w:p w14:paraId="602F01EE">
      <w:pPr>
        <w:spacing w:after="312" w:afterLines="100" w:line="360" w:lineRule="auto"/>
        <w:rPr>
          <w:rFonts w:ascii="Times New Roman" w:hAnsi="Times New Roman" w:eastAsia="宋体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</w:rPr>
        <w:t>Fig. S5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Relationships of top10 differential metabolic pathways enriched in the top10 differential microbial genera.</w:t>
      </w:r>
      <w:r>
        <w:rPr>
          <w:rFonts w:ascii="Times New Roman" w:hAnsi="Times New Roman" w:cs="Times New Roman"/>
          <w:color w:val="auto"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a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rhizosphere at flowering, </w:t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b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rhizoplane at flowering, </w:t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c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rhizosphere at maturation, </w:t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d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rhizoplane at maturation. Red / black labels denote significant increase / decrease in relative abundance following </w:t>
      </w:r>
      <w:r>
        <w:rPr>
          <w:rFonts w:ascii="Times New Roman" w:hAnsi="Times New Roman" w:eastAsia="宋体" w:cs="Times New Roman"/>
          <w:i/>
          <w:iCs/>
          <w:color w:val="auto"/>
          <w:szCs w:val="21"/>
        </w:rPr>
        <w:t>S. pactum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Act12 inoculation versus the non-inoculated control. In the pathway panel, pink / blue indicate significant elevation / reduction of the genus-associated pathway; “-” indicates the pathway was not detected.</w:t>
      </w:r>
    </w:p>
    <w:p w14:paraId="18656C11">
      <w:pPr>
        <w:spacing w:before="312" w:beforeLines="100" w:after="312" w:afterLines="100" w:line="360" w:lineRule="auto"/>
        <w:rPr>
          <w:rFonts w:ascii="Times New Roman" w:hAnsi="Times New Roman" w:eastAsia="宋体" w:cs="Times New Roman"/>
          <w:b/>
          <w:bCs/>
          <w:color w:val="auto"/>
          <w:sz w:val="24"/>
        </w:rPr>
      </w:pPr>
    </w:p>
    <w:p w14:paraId="6A97A26F">
      <w:pPr>
        <w:spacing w:before="312" w:beforeLines="100" w:after="312" w:afterLines="100" w:line="360" w:lineRule="auto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</w:rPr>
        <w:t>Supplementary table legends</w:t>
      </w:r>
    </w:p>
    <w:p w14:paraId="610E3303">
      <w:pPr>
        <w:spacing w:before="312" w:beforeLines="100" w:after="312" w:afterLines="100" w:line="360" w:lineRule="auto"/>
        <w:rPr>
          <w:rFonts w:ascii="Times New Roman" w:hAnsi="Times New Roman" w:eastAsia="宋体" w:cs="Times New Roman"/>
          <w:color w:val="auto"/>
          <w:kern w:val="0"/>
          <w:szCs w:val="21"/>
          <w:lang w:bidi="ar"/>
        </w:rPr>
      </w:pPr>
      <w:r>
        <w:rPr>
          <w:rFonts w:ascii="Times New Roman" w:hAnsi="Times New Roman" w:eastAsia="宋体" w:cs="Times New Roman"/>
          <w:b/>
          <w:bCs/>
          <w:color w:val="auto"/>
          <w:kern w:val="0"/>
          <w:szCs w:val="21"/>
          <w:lang w:bidi="ar"/>
        </w:rPr>
        <w:t>Table S1</w:t>
      </w:r>
      <w:r>
        <w:rPr>
          <w:rFonts w:ascii="Times New Roman" w:hAnsi="Times New Roman" w:cs="Times New Roman"/>
          <w:color w:val="auto"/>
          <w:szCs w:val="21"/>
        </w:rPr>
        <w:t xml:space="preserve"> </w:t>
      </w:r>
      <w:r>
        <w:rPr>
          <w:rFonts w:ascii="Times New Roman" w:hAnsi="Times New Roman" w:eastAsia="宋体" w:cs="Times New Roman"/>
          <w:color w:val="auto"/>
          <w:kern w:val="0"/>
          <w:szCs w:val="21"/>
          <w:lang w:bidi="ar"/>
        </w:rPr>
        <w:t>Molecular identification of strains</w:t>
      </w:r>
    </w:p>
    <w:p w14:paraId="5690FD98">
      <w:pPr>
        <w:spacing w:before="312" w:beforeLines="100" w:after="312" w:afterLines="100" w:line="360" w:lineRule="auto"/>
        <w:rPr>
          <w:rFonts w:ascii="Times New Roman" w:hAnsi="Times New Roman" w:eastAsia="宋体" w:cs="Times New Roman"/>
          <w:color w:val="auto"/>
          <w:kern w:val="0"/>
          <w:szCs w:val="21"/>
          <w:lang w:bidi="ar"/>
        </w:rPr>
      </w:pPr>
    </w:p>
    <w:p w14:paraId="484803EB">
      <w:pPr>
        <w:spacing w:before="312" w:beforeLines="100" w:after="312" w:afterLines="100" w:line="360" w:lineRule="auto"/>
        <w:rPr>
          <w:rStyle w:val="7"/>
          <w:rFonts w:eastAsia="宋体"/>
          <w:color w:val="auto"/>
          <w:sz w:val="21"/>
          <w:szCs w:val="21"/>
          <w:lang w:bidi="ar"/>
        </w:rPr>
      </w:pPr>
      <w:r>
        <w:rPr>
          <w:rFonts w:ascii="Times New Roman" w:hAnsi="Times New Roman" w:eastAsia="宋体" w:cs="Times New Roman"/>
          <w:b/>
          <w:bCs/>
          <w:color w:val="auto"/>
          <w:kern w:val="0"/>
          <w:szCs w:val="21"/>
          <w:lang w:bidi="ar"/>
        </w:rPr>
        <w:t xml:space="preserve">Table S2 </w:t>
      </w:r>
      <w:r>
        <w:rPr>
          <w:rStyle w:val="7"/>
          <w:rFonts w:eastAsia="宋体"/>
          <w:color w:val="auto"/>
          <w:sz w:val="21"/>
          <w:szCs w:val="21"/>
          <w:lang w:bidi="ar"/>
        </w:rPr>
        <w:t>Strains function analysis</w:t>
      </w:r>
    </w:p>
    <w:p w14:paraId="0C8BD94E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09E473F4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13A81F21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6A132C0C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064822CF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36F14BF0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593CB170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4093E3EA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790DA0A1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2BE8A007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51B9A6AD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0D2F7C41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2AB2496B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2C8011B6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24C79763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3D93A19D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37256E4D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03CF4F0B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1940EBEF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3FC8A221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7D1E48D7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6280B758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0235BC59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443CEBD5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757A7BD6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7E93AC38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595931E8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4EBA9E30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4117DA2A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2708B1AE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1413E8AD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44ED399E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75E1871A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10D12B69">
      <w:pPr>
        <w:widowControl/>
        <w:jc w:val="left"/>
        <w:rPr>
          <w:rStyle w:val="7"/>
          <w:rFonts w:eastAsia="宋体"/>
          <w:color w:val="auto"/>
          <w:sz w:val="21"/>
          <w:szCs w:val="21"/>
          <w:lang w:bidi="ar"/>
        </w:rPr>
      </w:pPr>
    </w:p>
    <w:p w14:paraId="65031585">
      <w:pPr>
        <w:spacing w:line="480" w:lineRule="auto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Supplementary figures</w:t>
      </w:r>
    </w:p>
    <w:p w14:paraId="35532734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</w:rPr>
        <w:drawing>
          <wp:inline distT="0" distB="0" distL="0" distR="0">
            <wp:extent cx="5274310" cy="4050030"/>
            <wp:effectExtent l="0" t="0" r="2540" b="7620"/>
            <wp:docPr id="17154485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44856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Fig. S1</w:t>
      </w:r>
      <w:r>
        <w:rPr>
          <w:rFonts w:ascii="Times New Roman" w:hAnsi="Times New Roman" w:cs="Times New Roman"/>
          <w:bCs/>
          <w:color w:val="auto"/>
          <w:szCs w:val="21"/>
        </w:rPr>
        <w:t xml:space="preserve"> </w:t>
      </w:r>
      <w:r>
        <w:rPr>
          <w:rFonts w:ascii="Times New Roman" w:hAnsi="Times New Roman" w:cs="Times New Roman"/>
          <w:color w:val="auto"/>
          <w:szCs w:val="21"/>
        </w:rPr>
        <w:t>Precipitation and temperature conditions at the experimental site in Yuncheng, China.</w:t>
      </w:r>
    </w:p>
    <w:p w14:paraId="279AF586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</w:p>
    <w:p w14:paraId="1ED80D5B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</w:p>
    <w:p w14:paraId="740F3C05">
      <w:pPr>
        <w:spacing w:before="312" w:beforeLines="100" w:line="360" w:lineRule="auto"/>
        <w:jc w:val="center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drawing>
          <wp:inline distT="0" distB="0" distL="0" distR="0">
            <wp:extent cx="5274310" cy="3319780"/>
            <wp:effectExtent l="0" t="0" r="2540" b="0"/>
            <wp:docPr id="69389748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89748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D0FB6">
      <w:pPr>
        <w:spacing w:after="312" w:afterLines="100" w:line="360" w:lineRule="auto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</w:rPr>
        <w:t>Fig. S2</w:t>
      </w:r>
      <w:r>
        <w:rPr>
          <w:rFonts w:ascii="Times New Roman" w:hAnsi="Times New Roman" w:cs="Times New Roman"/>
          <w:color w:val="auto"/>
          <w:szCs w:val="21"/>
        </w:rPr>
        <w:t xml:space="preserve"> Compartment-specific and Core-pan gene signatures of rhizosphere and rhizoplane soils under </w:t>
      </w:r>
      <w:r>
        <w:rPr>
          <w:rFonts w:ascii="Times New Roman" w:hAnsi="Times New Roman" w:cs="Times New Roman"/>
          <w:i/>
          <w:iCs/>
          <w:color w:val="auto"/>
          <w:szCs w:val="21"/>
        </w:rPr>
        <w:t>Streptomyces pactum</w:t>
      </w:r>
      <w:r>
        <w:rPr>
          <w:rFonts w:ascii="Times New Roman" w:hAnsi="Times New Roman" w:cs="Times New Roman"/>
          <w:color w:val="auto"/>
          <w:szCs w:val="21"/>
        </w:rPr>
        <w:t xml:space="preserve"> Act12 inoculation. Act12R</w:t>
      </w:r>
      <w:r>
        <w:rPr>
          <w:rFonts w:hint="eastAsia" w:ascii="Times New Roman" w:hAnsi="Times New Roman" w:cs="Times New Roman"/>
          <w:color w:val="auto"/>
          <w:szCs w:val="21"/>
        </w:rPr>
        <w:t>,</w:t>
      </w:r>
      <w:r>
        <w:rPr>
          <w:rFonts w:ascii="Times New Roman" w:hAnsi="Times New Roman" w:cs="Times New Roman"/>
          <w:color w:val="auto"/>
          <w:szCs w:val="21"/>
        </w:rPr>
        <w:t xml:space="preserve"> </w:t>
      </w:r>
      <w:r>
        <w:rPr>
          <w:rFonts w:ascii="Times New Roman" w:hAnsi="Times New Roman" w:cs="Times New Roman"/>
          <w:color w:val="auto"/>
          <w:szCs w:val="21"/>
          <w:lang w:bidi="ar"/>
        </w:rPr>
        <w:t xml:space="preserve">rhizosphere of </w:t>
      </w:r>
      <w:r>
        <w:rPr>
          <w:rFonts w:ascii="Times New Roman" w:hAnsi="Times New Roman" w:cs="Times New Roman"/>
          <w:i/>
          <w:iCs/>
          <w:color w:val="auto"/>
          <w:szCs w:val="21"/>
        </w:rPr>
        <w:t>S. pactum</w:t>
      </w:r>
      <w:r>
        <w:rPr>
          <w:rFonts w:ascii="Times New Roman" w:hAnsi="Times New Roman" w:cs="Times New Roman"/>
          <w:color w:val="auto"/>
          <w:szCs w:val="21"/>
          <w:lang w:bidi="ar"/>
        </w:rPr>
        <w:t xml:space="preserve"> Act12-inoculated wheat</w:t>
      </w:r>
      <w:r>
        <w:rPr>
          <w:rFonts w:hint="eastAsia" w:ascii="Times New Roman" w:hAnsi="Times New Roman" w:cs="Times New Roman"/>
          <w:color w:val="auto"/>
          <w:szCs w:val="21"/>
        </w:rPr>
        <w:t>;</w:t>
      </w:r>
      <w:r>
        <w:rPr>
          <w:rFonts w:ascii="Times New Roman" w:hAnsi="Times New Roman" w:cs="Times New Roman"/>
          <w:color w:val="auto"/>
          <w:szCs w:val="21"/>
        </w:rPr>
        <w:t xml:space="preserve"> Act12S</w:t>
      </w:r>
      <w:r>
        <w:rPr>
          <w:rFonts w:hint="eastAsia" w:ascii="Times New Roman" w:hAnsi="Times New Roman" w:cs="Times New Roman"/>
          <w:color w:val="auto"/>
          <w:szCs w:val="21"/>
        </w:rPr>
        <w:t>,</w:t>
      </w:r>
      <w:r>
        <w:rPr>
          <w:rFonts w:ascii="Times New Roman" w:hAnsi="Times New Roman" w:cs="Times New Roman"/>
          <w:color w:val="auto"/>
          <w:szCs w:val="21"/>
        </w:rPr>
        <w:t xml:space="preserve"> </w:t>
      </w:r>
      <w:r>
        <w:rPr>
          <w:rFonts w:ascii="Times New Roman" w:hAnsi="Times New Roman" w:cs="Times New Roman"/>
          <w:color w:val="auto"/>
          <w:szCs w:val="21"/>
          <w:lang w:bidi="ar"/>
        </w:rPr>
        <w:t xml:space="preserve">rhizoplane of </w:t>
      </w:r>
      <w:r>
        <w:rPr>
          <w:rFonts w:ascii="Times New Roman" w:hAnsi="Times New Roman" w:cs="Times New Roman"/>
          <w:i/>
          <w:iCs/>
          <w:color w:val="auto"/>
          <w:szCs w:val="21"/>
        </w:rPr>
        <w:t>S. pactum</w:t>
      </w:r>
      <w:r>
        <w:rPr>
          <w:rFonts w:ascii="Times New Roman" w:hAnsi="Times New Roman" w:cs="Times New Roman"/>
          <w:color w:val="auto"/>
          <w:szCs w:val="21"/>
          <w:lang w:bidi="ar"/>
        </w:rPr>
        <w:t xml:space="preserve"> Act12-inoculated wheat</w:t>
      </w:r>
      <w:r>
        <w:rPr>
          <w:rFonts w:hint="eastAsia" w:ascii="Times New Roman" w:hAnsi="Times New Roman" w:cs="Times New Roman"/>
          <w:color w:val="auto"/>
          <w:szCs w:val="21"/>
        </w:rPr>
        <w:t>;</w:t>
      </w:r>
      <w:r>
        <w:rPr>
          <w:rFonts w:ascii="Times New Roman" w:hAnsi="Times New Roman" w:cs="Times New Roman"/>
          <w:color w:val="auto"/>
          <w:szCs w:val="21"/>
        </w:rPr>
        <w:t xml:space="preserve"> CtrlR</w:t>
      </w:r>
      <w:r>
        <w:rPr>
          <w:rFonts w:hint="eastAsia" w:ascii="Times New Roman" w:hAnsi="Times New Roman" w:cs="Times New Roman"/>
          <w:color w:val="auto"/>
          <w:szCs w:val="21"/>
        </w:rPr>
        <w:t>,</w:t>
      </w:r>
      <w:r>
        <w:rPr>
          <w:rFonts w:ascii="Times New Roman" w:hAnsi="Times New Roman" w:cs="Times New Roman"/>
          <w:color w:val="auto"/>
          <w:szCs w:val="21"/>
        </w:rPr>
        <w:t xml:space="preserve"> </w:t>
      </w:r>
      <w:r>
        <w:rPr>
          <w:rFonts w:ascii="Times New Roman" w:hAnsi="Times New Roman" w:cs="Times New Roman"/>
          <w:color w:val="auto"/>
          <w:szCs w:val="21"/>
          <w:lang w:bidi="ar"/>
        </w:rPr>
        <w:t>rhizosphere of non-inoculated wheat</w:t>
      </w:r>
      <w:r>
        <w:rPr>
          <w:rFonts w:hint="eastAsia" w:ascii="Times New Roman" w:hAnsi="Times New Roman" w:cs="Times New Roman"/>
          <w:color w:val="auto"/>
          <w:szCs w:val="21"/>
        </w:rPr>
        <w:t>;</w:t>
      </w:r>
      <w:r>
        <w:rPr>
          <w:rFonts w:ascii="Times New Roman" w:hAnsi="Times New Roman" w:cs="Times New Roman"/>
          <w:color w:val="auto"/>
          <w:szCs w:val="21"/>
        </w:rPr>
        <w:t xml:space="preserve"> CtrlS</w:t>
      </w:r>
      <w:r>
        <w:rPr>
          <w:rFonts w:hint="eastAsia" w:ascii="Times New Roman" w:hAnsi="Times New Roman" w:cs="Times New Roman"/>
          <w:color w:val="auto"/>
          <w:szCs w:val="21"/>
        </w:rPr>
        <w:t>,</w:t>
      </w:r>
      <w:r>
        <w:rPr>
          <w:rFonts w:ascii="Times New Roman" w:hAnsi="Times New Roman" w:cs="Times New Roman"/>
          <w:color w:val="auto"/>
          <w:szCs w:val="21"/>
        </w:rPr>
        <w:t xml:space="preserve"> </w:t>
      </w:r>
      <w:r>
        <w:rPr>
          <w:rFonts w:ascii="Times New Roman" w:hAnsi="Times New Roman" w:cs="Times New Roman"/>
          <w:color w:val="auto"/>
          <w:szCs w:val="21"/>
          <w:lang w:bidi="ar"/>
        </w:rPr>
        <w:t>rhizoplane of non-inoculated wheat</w:t>
      </w:r>
      <w:r>
        <w:rPr>
          <w:rFonts w:ascii="Times New Roman" w:hAnsi="Times New Roman" w:cs="Times New Roman"/>
          <w:color w:val="auto"/>
          <w:szCs w:val="21"/>
        </w:rPr>
        <w:t>.</w:t>
      </w:r>
    </w:p>
    <w:p w14:paraId="4095BB5D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</w:p>
    <w:p w14:paraId="29526E76">
      <w:pPr>
        <w:spacing w:before="312" w:beforeLines="100" w:line="360" w:lineRule="auto"/>
        <w:jc w:val="left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</w:rPr>
        <w:drawing>
          <wp:inline distT="0" distB="0" distL="0" distR="0">
            <wp:extent cx="5274310" cy="4286885"/>
            <wp:effectExtent l="0" t="0" r="2540" b="0"/>
            <wp:docPr id="10122955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2955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8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Fig. S3</w:t>
      </w:r>
      <w:r>
        <w:rPr>
          <w:rFonts w:ascii="Times New Roman" w:hAnsi="Times New Roman" w:cs="Times New Roman"/>
          <w:color w:val="auto"/>
          <w:szCs w:val="21"/>
        </w:rPr>
        <w:t xml:space="preserve"> Alpha diversity in root-associated soils affected by </w:t>
      </w:r>
      <w:r>
        <w:rPr>
          <w:rFonts w:ascii="Times New Roman" w:hAnsi="Times New Roman" w:cs="Times New Roman"/>
          <w:i/>
          <w:iCs/>
          <w:color w:val="auto"/>
          <w:szCs w:val="21"/>
        </w:rPr>
        <w:t>S. pactum</w:t>
      </w:r>
      <w:r>
        <w:rPr>
          <w:rFonts w:ascii="Times New Roman" w:hAnsi="Times New Roman" w:cs="Times New Roman"/>
          <w:color w:val="auto"/>
          <w:szCs w:val="21"/>
        </w:rPr>
        <w:t xml:space="preserve"> Act12 inoculation. * </w:t>
      </w:r>
      <w:r>
        <w:rPr>
          <w:rFonts w:ascii="Times New Roman" w:hAnsi="Times New Roman" w:cs="Times New Roman"/>
          <w:i/>
          <w:iCs/>
          <w:color w:val="auto"/>
          <w:szCs w:val="21"/>
        </w:rPr>
        <w:t>P</w:t>
      </w:r>
      <w:r>
        <w:rPr>
          <w:rFonts w:ascii="Times New Roman" w:hAnsi="Times New Roman" w:cs="Times New Roman"/>
          <w:color w:val="auto"/>
          <w:szCs w:val="21"/>
        </w:rPr>
        <w:t xml:space="preserve"> &lt; 0.05.</w:t>
      </w:r>
    </w:p>
    <w:p w14:paraId="3EBF54F8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</w:p>
    <w:p w14:paraId="179EE183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</w:p>
    <w:p w14:paraId="7197A1E4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</w:p>
    <w:p w14:paraId="65A31DFF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</w:p>
    <w:p w14:paraId="1DFCE161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</w:p>
    <w:p w14:paraId="6A75C132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</w:p>
    <w:p w14:paraId="0DBBBFF4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</w:rPr>
        <w:drawing>
          <wp:inline distT="0" distB="0" distL="0" distR="0">
            <wp:extent cx="5274310" cy="2143125"/>
            <wp:effectExtent l="0" t="0" r="2540" b="9525"/>
            <wp:docPr id="171444948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44948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Fig. S4</w:t>
      </w:r>
      <w:r>
        <w:rPr>
          <w:rFonts w:ascii="Times New Roman" w:hAnsi="Times New Roman" w:cs="Times New Roman"/>
          <w:color w:val="auto"/>
          <w:szCs w:val="21"/>
        </w:rPr>
        <w:t xml:space="preserve"> Abundance changes of Actinomycetota and </w:t>
      </w:r>
      <w:r>
        <w:rPr>
          <w:rFonts w:ascii="Times New Roman" w:hAnsi="Times New Roman" w:cs="Times New Roman"/>
          <w:i/>
          <w:iCs/>
          <w:color w:val="auto"/>
          <w:szCs w:val="21"/>
        </w:rPr>
        <w:t xml:space="preserve">Streptomyces </w:t>
      </w:r>
      <w:r>
        <w:rPr>
          <w:rFonts w:ascii="Times New Roman" w:hAnsi="Times New Roman" w:cs="Times New Roman"/>
          <w:color w:val="auto"/>
          <w:szCs w:val="21"/>
        </w:rPr>
        <w:t xml:space="preserve">following </w:t>
      </w:r>
      <w:r>
        <w:rPr>
          <w:rFonts w:ascii="Times New Roman" w:hAnsi="Times New Roman" w:cs="Times New Roman"/>
          <w:i/>
          <w:iCs/>
          <w:color w:val="auto"/>
          <w:szCs w:val="21"/>
        </w:rPr>
        <w:t>S. pactum</w:t>
      </w:r>
      <w:r>
        <w:rPr>
          <w:rFonts w:ascii="Times New Roman" w:hAnsi="Times New Roman" w:cs="Times New Roman"/>
          <w:color w:val="auto"/>
          <w:szCs w:val="21"/>
        </w:rPr>
        <w:t xml:space="preserve"> Act12 inoculation. * </w:t>
      </w:r>
      <w:r>
        <w:rPr>
          <w:rFonts w:ascii="Times New Roman" w:hAnsi="Times New Roman" w:cs="Times New Roman"/>
          <w:i/>
          <w:iCs/>
          <w:color w:val="auto"/>
          <w:szCs w:val="21"/>
        </w:rPr>
        <w:t>P</w:t>
      </w:r>
      <w:r>
        <w:rPr>
          <w:rFonts w:ascii="Times New Roman" w:hAnsi="Times New Roman" w:cs="Times New Roman"/>
          <w:color w:val="auto"/>
          <w:szCs w:val="21"/>
        </w:rPr>
        <w:t xml:space="preserve"> &lt; 0.05.</w:t>
      </w:r>
    </w:p>
    <w:p w14:paraId="39BCF17E">
      <w:pPr>
        <w:spacing w:line="360" w:lineRule="auto"/>
        <w:rPr>
          <w:rFonts w:ascii="Times New Roman" w:hAnsi="Times New Roman" w:cs="Times New Roman"/>
          <w:color w:val="auto"/>
          <w:szCs w:val="21"/>
        </w:rPr>
      </w:pPr>
    </w:p>
    <w:p w14:paraId="6BCACD6F">
      <w:pPr>
        <w:spacing w:line="360" w:lineRule="auto"/>
        <w:rPr>
          <w:rFonts w:ascii="Times New Roman" w:hAnsi="Times New Roman" w:eastAsia="宋体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color w:val="auto"/>
          <w:szCs w:val="21"/>
        </w:rPr>
        <w:drawing>
          <wp:inline distT="0" distB="0" distL="0" distR="0">
            <wp:extent cx="5274310" cy="5956935"/>
            <wp:effectExtent l="0" t="0" r="2540" b="5715"/>
            <wp:docPr id="22462564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625649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5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D8E66">
      <w:pPr>
        <w:spacing w:after="312" w:afterLines="100" w:line="360" w:lineRule="auto"/>
        <w:rPr>
          <w:rFonts w:ascii="Times New Roman" w:hAnsi="Times New Roman" w:eastAsia="宋体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b/>
          <w:bCs/>
          <w:color w:val="auto"/>
          <w:szCs w:val="21"/>
        </w:rPr>
        <w:t>Fig. S5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Relationships of top10 differential metabolic pathways enriched in the top10 differential microbial genera.</w:t>
      </w:r>
      <w:r>
        <w:rPr>
          <w:rFonts w:ascii="Times New Roman" w:hAnsi="Times New Roman" w:cs="Times New Roman"/>
          <w:color w:val="auto"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a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rhizosphere at flowering, </w:t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b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rhizoplane at flowering, </w:t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c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rhizosphere at maturation, </w:t>
      </w:r>
      <w:r>
        <w:rPr>
          <w:rFonts w:ascii="Times New Roman" w:hAnsi="Times New Roman" w:eastAsia="宋体" w:cs="Times New Roman"/>
          <w:b/>
          <w:bCs/>
          <w:color w:val="auto"/>
          <w:szCs w:val="21"/>
        </w:rPr>
        <w:t>d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rhizoplane at maturation. Red / black labels denote significant increase / decrease in relative abundance following </w:t>
      </w:r>
      <w:r>
        <w:rPr>
          <w:rFonts w:ascii="Times New Roman" w:hAnsi="Times New Roman" w:eastAsia="宋体" w:cs="Times New Roman"/>
          <w:i/>
          <w:iCs/>
          <w:color w:val="auto"/>
          <w:szCs w:val="21"/>
        </w:rPr>
        <w:t>S. pactum</w:t>
      </w:r>
      <w:r>
        <w:rPr>
          <w:rFonts w:ascii="Times New Roman" w:hAnsi="Times New Roman" w:eastAsia="宋体" w:cs="Times New Roman"/>
          <w:color w:val="auto"/>
          <w:szCs w:val="21"/>
        </w:rPr>
        <w:t xml:space="preserve"> Act12 inoculation versus the non-inoculated control. In the pathway panel, pink / blue indicate significant elevation / reduction of the genus-associated pathway; “-” indicates the pathway was not detected.</w:t>
      </w:r>
    </w:p>
    <w:p w14:paraId="6461F79D">
      <w:pPr>
        <w:spacing w:line="360" w:lineRule="auto"/>
        <w:rPr>
          <w:rFonts w:ascii="Times New Roman" w:hAnsi="Times New Roman" w:eastAsia="宋体" w:cs="Times New Roman"/>
          <w:color w:val="auto"/>
          <w:szCs w:val="21"/>
        </w:rPr>
      </w:pPr>
    </w:p>
    <w:p w14:paraId="283C39FF">
      <w:pPr>
        <w:spacing w:line="360" w:lineRule="auto"/>
        <w:rPr>
          <w:rFonts w:ascii="Times New Roman" w:hAnsi="Times New Roman" w:eastAsia="宋体" w:cs="Times New Roman"/>
          <w:color w:val="auto"/>
          <w:szCs w:val="21"/>
        </w:r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8"/>
        <w:gridCol w:w="4350"/>
        <w:gridCol w:w="1684"/>
      </w:tblGrid>
      <w:tr w14:paraId="644ED23C">
        <w:trPr>
          <w:trHeight w:val="42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17B59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>Supplementary tables</w:t>
            </w:r>
          </w:p>
          <w:p w14:paraId="037849C3">
            <w:pPr>
              <w:widowControl/>
              <w:spacing w:after="156" w:afterLines="50"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>Table S1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  <w:lang w:bidi="ar"/>
              </w:rPr>
              <w:t>Molecular identification of strains</w:t>
            </w:r>
          </w:p>
        </w:tc>
      </w:tr>
      <w:tr w14:paraId="2F930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027CD13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Strains number</w:t>
            </w:r>
          </w:p>
        </w:tc>
        <w:tc>
          <w:tcPr>
            <w:tcW w:w="2552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E0E1A7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DNA identification results</w:t>
            </w:r>
          </w:p>
        </w:tc>
        <w:tc>
          <w:tcPr>
            <w:tcW w:w="987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0798D05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8"/>
                <w:szCs w:val="18"/>
                <w:lang w:bidi="ar"/>
              </w:rPr>
              <w:t>Identities</w:t>
            </w:r>
          </w:p>
        </w:tc>
      </w:tr>
      <w:tr w14:paraId="55A25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47AD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A1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7BFF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Kribbella italica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790C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99.01%</w:t>
            </w:r>
          </w:p>
        </w:tc>
      </w:tr>
      <w:tr w14:paraId="3BDC8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37C4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A2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45E6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Streptomyces seymenliensis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E255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99.02%</w:t>
            </w:r>
          </w:p>
        </w:tc>
      </w:tr>
      <w:tr w14:paraId="2E776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EC7C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A3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8476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Kribbella italica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B148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99.08%</w:t>
            </w:r>
          </w:p>
        </w:tc>
      </w:tr>
      <w:tr w14:paraId="7A2E9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494F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A4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A888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Glycomyces lechevalierae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A1554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98.87%</w:t>
            </w:r>
          </w:p>
        </w:tc>
      </w:tr>
      <w:tr w14:paraId="4AA11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1AE8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B1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3339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Pseudomonas azotoformans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04CB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99.72%</w:t>
            </w:r>
          </w:p>
        </w:tc>
      </w:tr>
      <w:tr w14:paraId="0FAD1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6F17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B2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5407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Bacillus pumilus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BDC3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99.65%</w:t>
            </w:r>
          </w:p>
        </w:tc>
      </w:tr>
      <w:tr w14:paraId="5FE4E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D2C88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B3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0A0F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Microbacterium algeriense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DDC45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99.30%</w:t>
            </w:r>
          </w:p>
        </w:tc>
      </w:tr>
      <w:tr w14:paraId="57523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1155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B4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3896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Pseudomonas azotoformans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531B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99.72%</w:t>
            </w:r>
          </w:p>
        </w:tc>
      </w:tr>
      <w:tr w14:paraId="2F835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68B6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B5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B8AF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Advenella kashmirensis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95AC0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99.86%</w:t>
            </w:r>
          </w:p>
        </w:tc>
      </w:tr>
      <w:tr w14:paraId="29BFA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2376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F1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483F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Penicillium aurantiogriseum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32C0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99.10%</w:t>
            </w:r>
          </w:p>
        </w:tc>
      </w:tr>
      <w:tr w14:paraId="713DA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5BFCB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F2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56CD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Penicillium janthinellum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E515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99.27%</w:t>
            </w:r>
          </w:p>
        </w:tc>
      </w:tr>
      <w:tr w14:paraId="7D2D3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8BBA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F3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95CC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Trichoderma harzianum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FE20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99.31%</w:t>
            </w:r>
          </w:p>
        </w:tc>
      </w:tr>
      <w:tr w14:paraId="13056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8C8A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F4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E2CB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Talaromyces purpureogenus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D1A4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99.63%</w:t>
            </w:r>
          </w:p>
        </w:tc>
      </w:tr>
      <w:tr w14:paraId="04C99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9708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F5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57A1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Fusarium concolor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5F89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99.22%</w:t>
            </w:r>
          </w:p>
        </w:tc>
      </w:tr>
      <w:tr w14:paraId="0DE84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3B3C3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F6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5FAC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Trichoderma atrobrunneum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0DE6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99.49%</w:t>
            </w:r>
          </w:p>
        </w:tc>
      </w:tr>
      <w:tr w14:paraId="4463B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CC73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F7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C046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Trichoderma peberdyi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859F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99.48%</w:t>
            </w:r>
          </w:p>
        </w:tc>
      </w:tr>
      <w:tr w14:paraId="7890C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195A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F8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350D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Fusarium concolor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83C9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99.20%</w:t>
            </w:r>
          </w:p>
        </w:tc>
      </w:tr>
      <w:tr w14:paraId="61042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C332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F9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279A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Penicillium cyclopium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D6151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99.81%</w:t>
            </w:r>
          </w:p>
        </w:tc>
      </w:tr>
      <w:tr w14:paraId="08DE7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6029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F10</w:t>
            </w:r>
          </w:p>
        </w:tc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C898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Penicillium cellarum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8BAA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99.64%</w:t>
            </w:r>
          </w:p>
        </w:tc>
      </w:tr>
      <w:tr w14:paraId="10577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60" w:type="pct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34B3109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F11</w:t>
            </w:r>
          </w:p>
        </w:tc>
        <w:tc>
          <w:tcPr>
            <w:tcW w:w="2552" w:type="pct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01965C3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lang w:bidi="ar"/>
              </w:rPr>
              <w:t>Fusarium oxysporum</w:t>
            </w:r>
          </w:p>
        </w:tc>
        <w:tc>
          <w:tcPr>
            <w:tcW w:w="987" w:type="pct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5F7CBD1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100.00%</w:t>
            </w:r>
          </w:p>
        </w:tc>
      </w:tr>
    </w:tbl>
    <w:p w14:paraId="6F9D278A">
      <w:pPr>
        <w:spacing w:line="360" w:lineRule="auto"/>
        <w:rPr>
          <w:rFonts w:ascii="Times New Roman" w:hAnsi="Times New Roman" w:eastAsia="宋体" w:cs="Times New Roman"/>
          <w:color w:val="auto"/>
          <w:szCs w:val="21"/>
        </w:rPr>
      </w:pPr>
    </w:p>
    <w:p w14:paraId="08E3DFF1">
      <w:pPr>
        <w:spacing w:line="360" w:lineRule="auto"/>
        <w:rPr>
          <w:rFonts w:ascii="Times New Roman" w:hAnsi="Times New Roman" w:eastAsia="宋体" w:cs="Times New Roman"/>
          <w:color w:val="auto"/>
          <w:szCs w:val="21"/>
        </w:rPr>
      </w:pPr>
    </w:p>
    <w:p w14:paraId="493EA568">
      <w:pPr>
        <w:spacing w:line="360" w:lineRule="auto"/>
        <w:rPr>
          <w:rFonts w:ascii="Times New Roman" w:hAnsi="Times New Roman" w:eastAsia="宋体" w:cs="Times New Roman"/>
          <w:color w:val="auto"/>
          <w:szCs w:val="21"/>
        </w:rPr>
      </w:pPr>
    </w:p>
    <w:p w14:paraId="0EBD5599">
      <w:pPr>
        <w:spacing w:line="360" w:lineRule="auto"/>
        <w:rPr>
          <w:rFonts w:ascii="Times New Roman" w:hAnsi="Times New Roman" w:eastAsia="宋体" w:cs="Times New Roman"/>
          <w:color w:val="auto"/>
          <w:szCs w:val="21"/>
        </w:rPr>
      </w:pPr>
    </w:p>
    <w:p w14:paraId="3D03AEC7">
      <w:pPr>
        <w:spacing w:line="360" w:lineRule="auto"/>
        <w:rPr>
          <w:rFonts w:ascii="Times New Roman" w:hAnsi="Times New Roman" w:eastAsia="宋体" w:cs="Times New Roman"/>
          <w:color w:val="auto"/>
          <w:szCs w:val="21"/>
        </w:rPr>
      </w:pPr>
    </w:p>
    <w:p w14:paraId="29C216F6">
      <w:pPr>
        <w:spacing w:line="360" w:lineRule="auto"/>
        <w:rPr>
          <w:rFonts w:ascii="Times New Roman" w:hAnsi="Times New Roman" w:eastAsia="宋体" w:cs="Times New Roman"/>
          <w:color w:val="auto"/>
          <w:szCs w:val="21"/>
        </w:rPr>
      </w:pPr>
    </w:p>
    <w:tbl>
      <w:tblPr>
        <w:tblStyle w:val="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961"/>
        <w:gridCol w:w="1074"/>
        <w:gridCol w:w="1024"/>
        <w:gridCol w:w="879"/>
        <w:gridCol w:w="919"/>
        <w:gridCol w:w="1324"/>
        <w:gridCol w:w="787"/>
        <w:gridCol w:w="864"/>
      </w:tblGrid>
      <w:tr w14:paraId="1C879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A68C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Cs w:val="21"/>
                <w:lang w:bidi="ar"/>
              </w:rPr>
              <w:t xml:space="preserve">Table S2 </w:t>
            </w:r>
            <w:r>
              <w:rPr>
                <w:rStyle w:val="7"/>
                <w:rFonts w:eastAsia="宋体"/>
                <w:color w:val="auto"/>
                <w:sz w:val="21"/>
                <w:szCs w:val="21"/>
                <w:lang w:bidi="ar"/>
              </w:rPr>
              <w:t>Strains function analysis</w:t>
            </w:r>
          </w:p>
        </w:tc>
      </w:tr>
      <w:tr w14:paraId="2A85D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404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A30991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Strain</w:t>
            </w:r>
          </w:p>
        </w:tc>
        <w:tc>
          <w:tcPr>
            <w:tcW w:w="564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F1F8F4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Produce ACC deaminase</w:t>
            </w:r>
          </w:p>
        </w:tc>
        <w:tc>
          <w:tcPr>
            <w:tcW w:w="630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7BF5875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Dissolve organic phosphorus</w:t>
            </w:r>
          </w:p>
        </w:tc>
        <w:tc>
          <w:tcPr>
            <w:tcW w:w="601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08EB48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Dissolve inorganic phosphorus</w:t>
            </w:r>
          </w:p>
        </w:tc>
        <w:tc>
          <w:tcPr>
            <w:tcW w:w="516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AF776F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Nitrogen fixation</w:t>
            </w:r>
          </w:p>
        </w:tc>
        <w:tc>
          <w:tcPr>
            <w:tcW w:w="539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738C48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Solubilize potassium</w:t>
            </w:r>
          </w:p>
        </w:tc>
        <w:tc>
          <w:tcPr>
            <w:tcW w:w="777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DD79E6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Siderophore production</w:t>
            </w:r>
          </w:p>
        </w:tc>
        <w:tc>
          <w:tcPr>
            <w:tcW w:w="462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6D8B647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Produce EPS</w:t>
            </w:r>
          </w:p>
        </w:tc>
        <w:tc>
          <w:tcPr>
            <w:tcW w:w="502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4FDD16E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Produce  IAA</w:t>
            </w:r>
          </w:p>
        </w:tc>
      </w:tr>
      <w:tr w14:paraId="6D47E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2CC5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A4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49EC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－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31F26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－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1B212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－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85A7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＋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B8C1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＋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150BC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－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E1EC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－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DE88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＋</w:t>
            </w:r>
          </w:p>
        </w:tc>
      </w:tr>
      <w:tr w14:paraId="6E79B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404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57D8C6D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B3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860EEC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－</w:t>
            </w:r>
          </w:p>
        </w:tc>
        <w:tc>
          <w:tcPr>
            <w:tcW w:w="630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A0B75A9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－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18272F1B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－</w:t>
            </w:r>
          </w:p>
        </w:tc>
        <w:tc>
          <w:tcPr>
            <w:tcW w:w="516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356FD29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＋</w:t>
            </w:r>
          </w:p>
        </w:tc>
        <w:tc>
          <w:tcPr>
            <w:tcW w:w="539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5AC89C3A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＋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030A3554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－</w:t>
            </w:r>
          </w:p>
        </w:tc>
        <w:tc>
          <w:tcPr>
            <w:tcW w:w="462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D6D3E4F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－</w:t>
            </w:r>
          </w:p>
        </w:tc>
        <w:tc>
          <w:tcPr>
            <w:tcW w:w="502" w:type="pct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328A73D">
            <w:pPr>
              <w:widowControl/>
              <w:spacing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Style w:val="8"/>
                <w:rFonts w:hint="default" w:ascii="Times New Roman" w:hAnsi="Times New Roman" w:cs="Times New Roman"/>
                <w:color w:val="auto"/>
                <w:sz w:val="18"/>
                <w:szCs w:val="18"/>
                <w:lang w:bidi="ar"/>
              </w:rPr>
              <w:t>＋</w:t>
            </w:r>
          </w:p>
        </w:tc>
      </w:tr>
      <w:tr w14:paraId="4AEC9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F4A8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Note: "+" indicates the presence of this function, while "-" indicates the absence of it.</w:t>
            </w:r>
          </w:p>
        </w:tc>
      </w:tr>
    </w:tbl>
    <w:p w14:paraId="694A31A6">
      <w:pPr>
        <w:spacing w:after="312" w:afterLines="100" w:line="360" w:lineRule="auto"/>
        <w:rPr>
          <w:rFonts w:ascii="Times New Roman" w:hAnsi="Times New Roman" w:eastAsia="宋体" w:cs="Times New Roman"/>
          <w:color w:val="auto"/>
          <w:szCs w:val="21"/>
        </w:rPr>
      </w:pP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558"/>
    <w:rsid w:val="0002080A"/>
    <w:rsid w:val="00025CAE"/>
    <w:rsid w:val="000D50D7"/>
    <w:rsid w:val="000E65A0"/>
    <w:rsid w:val="00125558"/>
    <w:rsid w:val="00134347"/>
    <w:rsid w:val="001778CB"/>
    <w:rsid w:val="001D3256"/>
    <w:rsid w:val="00217045"/>
    <w:rsid w:val="00240632"/>
    <w:rsid w:val="002666AE"/>
    <w:rsid w:val="00290E1D"/>
    <w:rsid w:val="00294272"/>
    <w:rsid w:val="002C304A"/>
    <w:rsid w:val="003042C0"/>
    <w:rsid w:val="00363B84"/>
    <w:rsid w:val="003B19F3"/>
    <w:rsid w:val="003F20B9"/>
    <w:rsid w:val="004C3229"/>
    <w:rsid w:val="004F63C0"/>
    <w:rsid w:val="00506325"/>
    <w:rsid w:val="005530B5"/>
    <w:rsid w:val="005B1494"/>
    <w:rsid w:val="00643933"/>
    <w:rsid w:val="00697948"/>
    <w:rsid w:val="006C0303"/>
    <w:rsid w:val="006C0DD9"/>
    <w:rsid w:val="007022B8"/>
    <w:rsid w:val="00707954"/>
    <w:rsid w:val="00805175"/>
    <w:rsid w:val="00842C65"/>
    <w:rsid w:val="008941AE"/>
    <w:rsid w:val="008B5622"/>
    <w:rsid w:val="008D340B"/>
    <w:rsid w:val="008F1A74"/>
    <w:rsid w:val="00934924"/>
    <w:rsid w:val="009C692E"/>
    <w:rsid w:val="00A5521F"/>
    <w:rsid w:val="00BE019C"/>
    <w:rsid w:val="00C66168"/>
    <w:rsid w:val="00C8641A"/>
    <w:rsid w:val="00C94146"/>
    <w:rsid w:val="00E04AEC"/>
    <w:rsid w:val="00E143DE"/>
    <w:rsid w:val="00E2207D"/>
    <w:rsid w:val="00E54EE3"/>
    <w:rsid w:val="00F50D05"/>
    <w:rsid w:val="00F576D4"/>
    <w:rsid w:val="00FE6E51"/>
    <w:rsid w:val="043B4C5B"/>
    <w:rsid w:val="04946133"/>
    <w:rsid w:val="056B1570"/>
    <w:rsid w:val="059E36F3"/>
    <w:rsid w:val="05A2565C"/>
    <w:rsid w:val="05B66C8F"/>
    <w:rsid w:val="05CF7D50"/>
    <w:rsid w:val="06A967F3"/>
    <w:rsid w:val="06F7755F"/>
    <w:rsid w:val="078359ED"/>
    <w:rsid w:val="08381BDD"/>
    <w:rsid w:val="091B62A2"/>
    <w:rsid w:val="09D02B18"/>
    <w:rsid w:val="0ADB0F46"/>
    <w:rsid w:val="0B14162A"/>
    <w:rsid w:val="0C457E06"/>
    <w:rsid w:val="0C4B5C57"/>
    <w:rsid w:val="0D735465"/>
    <w:rsid w:val="0D991370"/>
    <w:rsid w:val="0E567261"/>
    <w:rsid w:val="0F1A7516"/>
    <w:rsid w:val="10463305"/>
    <w:rsid w:val="1111746F"/>
    <w:rsid w:val="11C031F5"/>
    <w:rsid w:val="11C40985"/>
    <w:rsid w:val="12B44556"/>
    <w:rsid w:val="12DC3AAD"/>
    <w:rsid w:val="13166FBF"/>
    <w:rsid w:val="13B842AF"/>
    <w:rsid w:val="14C34F24"/>
    <w:rsid w:val="14F2362B"/>
    <w:rsid w:val="157D5AE1"/>
    <w:rsid w:val="15891CCA"/>
    <w:rsid w:val="15A31EE0"/>
    <w:rsid w:val="1638549E"/>
    <w:rsid w:val="16557DFE"/>
    <w:rsid w:val="169745F0"/>
    <w:rsid w:val="16AE18BE"/>
    <w:rsid w:val="16B90FA4"/>
    <w:rsid w:val="16C15493"/>
    <w:rsid w:val="17201C54"/>
    <w:rsid w:val="17C3523B"/>
    <w:rsid w:val="17EE0F57"/>
    <w:rsid w:val="18857937"/>
    <w:rsid w:val="18B9541C"/>
    <w:rsid w:val="18EA5EDE"/>
    <w:rsid w:val="19287323"/>
    <w:rsid w:val="193704ED"/>
    <w:rsid w:val="198A0BAD"/>
    <w:rsid w:val="19D61256"/>
    <w:rsid w:val="1A562397"/>
    <w:rsid w:val="1B697EA8"/>
    <w:rsid w:val="1C9C563E"/>
    <w:rsid w:val="1D1E08F1"/>
    <w:rsid w:val="1E311151"/>
    <w:rsid w:val="1E406742"/>
    <w:rsid w:val="1F6410B2"/>
    <w:rsid w:val="20006EDD"/>
    <w:rsid w:val="204A64FA"/>
    <w:rsid w:val="20E64474"/>
    <w:rsid w:val="21114A0C"/>
    <w:rsid w:val="21C83B7A"/>
    <w:rsid w:val="23CD5689"/>
    <w:rsid w:val="23E80503"/>
    <w:rsid w:val="24240AC9"/>
    <w:rsid w:val="244F0582"/>
    <w:rsid w:val="248C70E1"/>
    <w:rsid w:val="252B1B61"/>
    <w:rsid w:val="25626093"/>
    <w:rsid w:val="25C42863"/>
    <w:rsid w:val="26EA6341"/>
    <w:rsid w:val="285C51A6"/>
    <w:rsid w:val="29795F73"/>
    <w:rsid w:val="2A3C5105"/>
    <w:rsid w:val="2A7A67B6"/>
    <w:rsid w:val="2AAD1B5F"/>
    <w:rsid w:val="2BFF706A"/>
    <w:rsid w:val="2C2422F5"/>
    <w:rsid w:val="2C977691"/>
    <w:rsid w:val="2E13617D"/>
    <w:rsid w:val="2E882F2C"/>
    <w:rsid w:val="2EE47B19"/>
    <w:rsid w:val="2FDE27BA"/>
    <w:rsid w:val="303E1ECD"/>
    <w:rsid w:val="31EB6CA0"/>
    <w:rsid w:val="31F7451D"/>
    <w:rsid w:val="329D695D"/>
    <w:rsid w:val="32D85BE7"/>
    <w:rsid w:val="33117F00"/>
    <w:rsid w:val="35B44D6B"/>
    <w:rsid w:val="35FC7E3E"/>
    <w:rsid w:val="36AA4E5F"/>
    <w:rsid w:val="37704640"/>
    <w:rsid w:val="398E37F1"/>
    <w:rsid w:val="39F81B43"/>
    <w:rsid w:val="3B237C71"/>
    <w:rsid w:val="3BBC2D82"/>
    <w:rsid w:val="3C0C5591"/>
    <w:rsid w:val="3C3971E2"/>
    <w:rsid w:val="3CEB44C5"/>
    <w:rsid w:val="3E970704"/>
    <w:rsid w:val="3F917849"/>
    <w:rsid w:val="404E1296"/>
    <w:rsid w:val="40532D51"/>
    <w:rsid w:val="40A329DE"/>
    <w:rsid w:val="40C31C84"/>
    <w:rsid w:val="417B430D"/>
    <w:rsid w:val="41FB544E"/>
    <w:rsid w:val="436D4129"/>
    <w:rsid w:val="440608E3"/>
    <w:rsid w:val="444E0EB1"/>
    <w:rsid w:val="44501A81"/>
    <w:rsid w:val="451657AA"/>
    <w:rsid w:val="45175AED"/>
    <w:rsid w:val="454516CB"/>
    <w:rsid w:val="461D07A5"/>
    <w:rsid w:val="46317690"/>
    <w:rsid w:val="463F7FFF"/>
    <w:rsid w:val="465A6BE7"/>
    <w:rsid w:val="47A520E4"/>
    <w:rsid w:val="48F52BF7"/>
    <w:rsid w:val="4A54394D"/>
    <w:rsid w:val="4A842484"/>
    <w:rsid w:val="4ADD1B95"/>
    <w:rsid w:val="4B481704"/>
    <w:rsid w:val="4DDA060D"/>
    <w:rsid w:val="4FB85B60"/>
    <w:rsid w:val="4FE85264"/>
    <w:rsid w:val="4FED6CC1"/>
    <w:rsid w:val="503366D9"/>
    <w:rsid w:val="507B5E29"/>
    <w:rsid w:val="518E3BE9"/>
    <w:rsid w:val="536F17F8"/>
    <w:rsid w:val="53E33EC5"/>
    <w:rsid w:val="54224ABC"/>
    <w:rsid w:val="546253ED"/>
    <w:rsid w:val="547E6196"/>
    <w:rsid w:val="556F5ADF"/>
    <w:rsid w:val="567B3550"/>
    <w:rsid w:val="56F73FDE"/>
    <w:rsid w:val="578313D3"/>
    <w:rsid w:val="57E97DCB"/>
    <w:rsid w:val="586B6A32"/>
    <w:rsid w:val="59195570"/>
    <w:rsid w:val="59CE616D"/>
    <w:rsid w:val="5B465534"/>
    <w:rsid w:val="5B4A6179"/>
    <w:rsid w:val="5B6854AA"/>
    <w:rsid w:val="5B914A01"/>
    <w:rsid w:val="5C6D6507"/>
    <w:rsid w:val="5CAB38A1"/>
    <w:rsid w:val="5D184CAE"/>
    <w:rsid w:val="5D7243BE"/>
    <w:rsid w:val="5D81218A"/>
    <w:rsid w:val="5D8B347B"/>
    <w:rsid w:val="5DB744C7"/>
    <w:rsid w:val="5E86508A"/>
    <w:rsid w:val="5F385194"/>
    <w:rsid w:val="5F3D6047"/>
    <w:rsid w:val="5FE71387"/>
    <w:rsid w:val="5FEC14A8"/>
    <w:rsid w:val="60F670B5"/>
    <w:rsid w:val="63B766D2"/>
    <w:rsid w:val="64406FC4"/>
    <w:rsid w:val="6477675E"/>
    <w:rsid w:val="65576420"/>
    <w:rsid w:val="65BF03BD"/>
    <w:rsid w:val="660109D5"/>
    <w:rsid w:val="66B71DB0"/>
    <w:rsid w:val="66BE0674"/>
    <w:rsid w:val="670E33AA"/>
    <w:rsid w:val="6739419F"/>
    <w:rsid w:val="67874F0A"/>
    <w:rsid w:val="67A55390"/>
    <w:rsid w:val="67E1461B"/>
    <w:rsid w:val="68A13DAA"/>
    <w:rsid w:val="68F760C0"/>
    <w:rsid w:val="6A3749C6"/>
    <w:rsid w:val="6AB73D58"/>
    <w:rsid w:val="6BDA7CFF"/>
    <w:rsid w:val="6C092B65"/>
    <w:rsid w:val="6C2F1293"/>
    <w:rsid w:val="6C3118E9"/>
    <w:rsid w:val="6D78677C"/>
    <w:rsid w:val="6D995997"/>
    <w:rsid w:val="6E1F7C4B"/>
    <w:rsid w:val="6F345978"/>
    <w:rsid w:val="6F975F07"/>
    <w:rsid w:val="702834FB"/>
    <w:rsid w:val="703F5569"/>
    <w:rsid w:val="70E924EF"/>
    <w:rsid w:val="713A4D9B"/>
    <w:rsid w:val="731D4975"/>
    <w:rsid w:val="74091017"/>
    <w:rsid w:val="74911179"/>
    <w:rsid w:val="75AF3FAA"/>
    <w:rsid w:val="75BF7F65"/>
    <w:rsid w:val="76067942"/>
    <w:rsid w:val="76C603C8"/>
    <w:rsid w:val="77D944A8"/>
    <w:rsid w:val="78B10039"/>
    <w:rsid w:val="79AE6327"/>
    <w:rsid w:val="79E42BAC"/>
    <w:rsid w:val="7A195E96"/>
    <w:rsid w:val="7A8B1A00"/>
    <w:rsid w:val="7B6B6078"/>
    <w:rsid w:val="7C336FB7"/>
    <w:rsid w:val="7D39684F"/>
    <w:rsid w:val="7D690EE2"/>
    <w:rsid w:val="7ED93E46"/>
    <w:rsid w:val="7FAB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3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6">
    <w:name w:val="line number"/>
    <w:basedOn w:val="5"/>
    <w:qFormat/>
    <w:uiPriority w:val="0"/>
  </w:style>
  <w:style w:type="character" w:customStyle="1" w:styleId="7">
    <w:name w:val="font41"/>
    <w:basedOn w:val="5"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8">
    <w:name w:val="font51"/>
    <w:basedOn w:val="5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paragraph" w:customStyle="1" w:styleId="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0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A6EAC-5A3B-4DEF-A3B6-1644D3D383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499</Words>
  <Characters>3155</Characters>
  <Lines>26</Lines>
  <Paragraphs>7</Paragraphs>
  <TotalTime>6</TotalTime>
  <ScaleCrop>false</ScaleCrop>
  <LinksUpToDate>false</LinksUpToDate>
  <CharactersWithSpaces>3545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2025-05-24T02:32:00Z</dcterms:created>
  <dc:creator>Limeng</dc:creator>
  <cp:lastModifiedBy>Candy</cp:lastModifiedBy>
  <dcterms:modified xsi:type="dcterms:W3CDTF">2025-12-31T14:08:30Z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eyJoZGlkIjoiMWM4MmVkOTA1MjFjYzMwZWNmZGFhODliZDBjZWU4YWMiLCJ1c2VySWQiOiI2NTc5MjM5MTEifQ==</vt:lpwstr>
  </property>
  <property fmtid="{D5CDD505-2E9C-101B-9397-08002B2CF9AE}" pid="4" name="ICV">
    <vt:lpwstr>545777473C2A45E7B9B20F3854A90207_13</vt:lpwstr>
  </property>
</Properties>
</file>