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C36B" w14:textId="77777777" w:rsidR="00A94F54" w:rsidRDefault="00A94F54" w:rsidP="00A94F54">
      <w:pPr>
        <w:jc w:val="center"/>
        <w:rPr>
          <w:rFonts w:ascii="Times New Roman" w:eastAsia="宋体" w:hAnsi="Times New Roman"/>
          <w:b/>
          <w:color w:val="000000" w:themeColor="text1"/>
          <w:sz w:val="24"/>
          <w:szCs w:val="28"/>
        </w:rPr>
      </w:pPr>
    </w:p>
    <w:p w14:paraId="51194CCA" w14:textId="32EDF773" w:rsidR="00A94F54" w:rsidRDefault="00000000" w:rsidP="00A94F54">
      <w:pPr>
        <w:jc w:val="center"/>
        <w:rPr>
          <w:rFonts w:ascii="Times New Roman" w:eastAsia="宋体" w:hAnsi="Times New Roman" w:hint="eastAsia"/>
          <w:b/>
          <w:color w:val="000000" w:themeColor="text1"/>
          <w:sz w:val="24"/>
          <w:szCs w:val="28"/>
        </w:rPr>
      </w:pPr>
      <w:r>
        <w:rPr>
          <w:rFonts w:ascii="Times New Roman" w:eastAsia="宋体" w:hAnsi="Times New Roman"/>
          <w:b/>
          <w:color w:val="000000" w:themeColor="text1"/>
          <w:sz w:val="24"/>
          <w:szCs w:val="28"/>
        </w:rPr>
        <w:t xml:space="preserve">Supplement </w:t>
      </w:r>
      <w:r w:rsidR="00A00243">
        <w:rPr>
          <w:rFonts w:ascii="Times New Roman" w:eastAsia="宋体" w:hAnsi="Times New Roman" w:hint="eastAsia"/>
          <w:b/>
          <w:color w:val="000000" w:themeColor="text1"/>
          <w:sz w:val="24"/>
          <w:szCs w:val="28"/>
        </w:rPr>
        <w:t>material</w:t>
      </w:r>
    </w:p>
    <w:p w14:paraId="4ED3F04E" w14:textId="77777777" w:rsidR="00A94F54" w:rsidRDefault="00A94F54" w:rsidP="00A94F54">
      <w:pPr>
        <w:jc w:val="center"/>
        <w:rPr>
          <w:rFonts w:ascii="Times New Roman" w:eastAsia="宋体" w:hAnsi="Times New Roman" w:hint="eastAsia"/>
          <w:b/>
          <w:color w:val="000000" w:themeColor="text1"/>
          <w:sz w:val="24"/>
          <w:szCs w:val="28"/>
        </w:rPr>
      </w:pPr>
    </w:p>
    <w:p w14:paraId="73BFF9D6" w14:textId="13B43B1B" w:rsidR="00A00243" w:rsidRDefault="00A00243" w:rsidP="00A00243">
      <w:pPr>
        <w:rPr>
          <w:rFonts w:ascii="Times New Roman" w:eastAsia="宋体" w:hAnsi="Times New Roman"/>
          <w:b/>
          <w:color w:val="000000" w:themeColor="text1"/>
          <w:sz w:val="24"/>
          <w:szCs w:val="28"/>
        </w:rPr>
      </w:pPr>
      <w:r>
        <w:rPr>
          <w:rFonts w:ascii="Times New Roman" w:eastAsia="宋体" w:hAnsi="Times New Roman" w:hint="eastAsia"/>
          <w:b/>
          <w:color w:val="000000" w:themeColor="text1"/>
          <w:sz w:val="24"/>
          <w:szCs w:val="28"/>
        </w:rPr>
        <w:t>Content</w:t>
      </w:r>
    </w:p>
    <w:p w14:paraId="6D8074D1" w14:textId="77777777" w:rsidR="00A94F54" w:rsidRDefault="00A94F54" w:rsidP="00A00243">
      <w:pPr>
        <w:rPr>
          <w:rFonts w:ascii="Times New Roman" w:eastAsia="宋体" w:hAnsi="Times New Roman"/>
          <w:b/>
          <w:color w:val="000000" w:themeColor="text1"/>
          <w:sz w:val="24"/>
          <w:szCs w:val="28"/>
        </w:rPr>
      </w:pPr>
    </w:p>
    <w:p w14:paraId="7D3BCE49" w14:textId="65D996B7" w:rsidR="00A00243" w:rsidRPr="00A00243" w:rsidRDefault="00A00243" w:rsidP="00A00243">
      <w:pPr>
        <w:rPr>
          <w:rFonts w:ascii="Times New Roman" w:eastAsia="宋体" w:hAnsi="Times New Roman" w:hint="eastAsia"/>
          <w:b/>
          <w:color w:val="000000" w:themeColor="text1"/>
          <w:sz w:val="18"/>
          <w:szCs w:val="18"/>
        </w:rPr>
      </w:pPr>
      <w:r w:rsidRPr="00A00243">
        <w:rPr>
          <w:rFonts w:ascii="Times New Roman" w:eastAsia="宋体" w:hAnsi="Times New Roman" w:hint="eastAsia"/>
          <w:b/>
          <w:color w:val="000000" w:themeColor="text1"/>
          <w:sz w:val="18"/>
          <w:szCs w:val="18"/>
        </w:rPr>
        <w:t xml:space="preserve">Supplementary table 1. </w:t>
      </w:r>
      <w:r w:rsidRPr="00A00243">
        <w:rPr>
          <w:rFonts w:ascii="Times New Roman" w:eastAsia="宋体" w:hAnsi="Times New Roman" w:hint="eastAsia"/>
          <w:bCs/>
          <w:color w:val="000000" w:themeColor="text1"/>
          <w:sz w:val="18"/>
          <w:szCs w:val="18"/>
        </w:rPr>
        <w:t>The final ASV abundances, taxon abundances, and Tax4Fun2 pathway abundances.</w:t>
      </w:r>
    </w:p>
    <w:p w14:paraId="5CE1A179" w14:textId="77777777" w:rsidR="008E7A03" w:rsidRDefault="008E7A03">
      <w:pPr>
        <w:rPr>
          <w:rFonts w:ascii="Times New Roman" w:eastAsia="宋体" w:hAnsi="Times New Roman"/>
          <w:b/>
          <w:color w:val="000000" w:themeColor="text1"/>
          <w:sz w:val="24"/>
          <w:szCs w:val="28"/>
        </w:rPr>
      </w:pPr>
    </w:p>
    <w:p w14:paraId="6BDE230B" w14:textId="43F34166" w:rsidR="00A00243" w:rsidRDefault="00A00243">
      <w:pPr>
        <w:rPr>
          <w:rFonts w:ascii="Times New Roman" w:hAnsi="Times New Roman" w:cs="Times New Roman"/>
          <w:color w:val="000000" w:themeColor="text1"/>
          <w:sz w:val="18"/>
          <w:szCs w:val="18"/>
        </w:rPr>
      </w:pPr>
      <w:r>
        <w:rPr>
          <w:rFonts w:ascii="Times New Roman" w:hAnsi="Times New Roman" w:cs="Times New Roman" w:hint="eastAsia"/>
          <w:b/>
          <w:bCs/>
          <w:color w:val="000000" w:themeColor="text1"/>
          <w:sz w:val="18"/>
          <w:szCs w:val="18"/>
        </w:rPr>
        <w:t xml:space="preserve">Supplementary table 2. </w:t>
      </w:r>
      <w:r w:rsidRPr="00A00243">
        <w:rPr>
          <w:rFonts w:ascii="Times New Roman" w:hAnsi="Times New Roman" w:cs="Times New Roman"/>
          <w:color w:val="000000" w:themeColor="text1"/>
          <w:sz w:val="18"/>
          <w:szCs w:val="18"/>
        </w:rPr>
        <w:t>Core Results Table of MaasLin2 Association Analysis</w:t>
      </w:r>
      <w:r w:rsidRPr="00A00243">
        <w:rPr>
          <w:rFonts w:ascii="Times New Roman" w:hAnsi="Times New Roman" w:cs="Times New Roman" w:hint="eastAsia"/>
          <w:color w:val="000000" w:themeColor="text1"/>
          <w:sz w:val="18"/>
          <w:szCs w:val="18"/>
        </w:rPr>
        <w:t>.</w:t>
      </w:r>
    </w:p>
    <w:p w14:paraId="0374D4FE" w14:textId="77777777" w:rsidR="00A00243" w:rsidRDefault="00A00243">
      <w:pPr>
        <w:rPr>
          <w:rFonts w:ascii="Times New Roman" w:eastAsia="宋体" w:hAnsi="Times New Roman"/>
          <w:b/>
          <w:color w:val="000000" w:themeColor="text1"/>
          <w:sz w:val="24"/>
          <w:szCs w:val="28"/>
        </w:rPr>
      </w:pPr>
    </w:p>
    <w:p w14:paraId="1811AB6B" w14:textId="77777777" w:rsidR="00A94F54" w:rsidRDefault="00A94F54">
      <w:pPr>
        <w:rPr>
          <w:rFonts w:ascii="Times New Roman" w:eastAsia="宋体" w:hAnsi="Times New Roman" w:hint="eastAsia"/>
          <w:b/>
          <w:color w:val="000000" w:themeColor="text1"/>
          <w:sz w:val="24"/>
          <w:szCs w:val="28"/>
        </w:rPr>
      </w:pPr>
    </w:p>
    <w:p w14:paraId="7E818EEB" w14:textId="4B54CB53" w:rsidR="00A00243" w:rsidRDefault="00A00243">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Supplementary Figure 1. </w:t>
      </w:r>
      <w:r w:rsidRPr="00A00243">
        <w:rPr>
          <w:rFonts w:ascii="Times New Roman" w:eastAsia="宋体" w:hAnsi="Times New Roman" w:hint="eastAsia"/>
          <w:bCs/>
          <w:color w:val="000000" w:themeColor="text1"/>
          <w:sz w:val="18"/>
          <w:szCs w:val="18"/>
        </w:rPr>
        <w:t>Binary map of sample distribution.</w:t>
      </w:r>
    </w:p>
    <w:p w14:paraId="6A9EF371" w14:textId="77777777" w:rsidR="00A00243" w:rsidRDefault="00A00243">
      <w:pPr>
        <w:rPr>
          <w:rFonts w:ascii="Times New Roman" w:eastAsia="宋体" w:hAnsi="Times New Roman"/>
          <w:b/>
          <w:color w:val="000000" w:themeColor="text1"/>
          <w:sz w:val="24"/>
          <w:szCs w:val="28"/>
        </w:rPr>
      </w:pPr>
    </w:p>
    <w:p w14:paraId="17BA3503" w14:textId="5D906F82" w:rsidR="00A00243" w:rsidRPr="00A00243" w:rsidRDefault="00A00243">
      <w:pPr>
        <w:rPr>
          <w:rFonts w:ascii="Times New Roman" w:eastAsia="宋体" w:hAnsi="Times New Roman"/>
          <w:bCs/>
          <w:color w:val="000000" w:themeColor="text1"/>
          <w:sz w:val="18"/>
          <w:szCs w:val="18"/>
        </w:rPr>
      </w:pPr>
      <w:r>
        <w:rPr>
          <w:rFonts w:ascii="Times New Roman" w:hAnsi="Times New Roman" w:cs="Times New Roman"/>
          <w:b/>
          <w:bCs/>
          <w:color w:val="000000" w:themeColor="text1"/>
          <w:sz w:val="18"/>
          <w:szCs w:val="18"/>
        </w:rPr>
        <w:t xml:space="preserve">Supplementary Figure </w:t>
      </w:r>
      <w:r>
        <w:rPr>
          <w:rFonts w:ascii="Times New Roman" w:hAnsi="Times New Roman" w:cs="Times New Roman" w:hint="eastAsia"/>
          <w:b/>
          <w:bCs/>
          <w:color w:val="000000" w:themeColor="text1"/>
          <w:sz w:val="18"/>
          <w:szCs w:val="18"/>
        </w:rPr>
        <w:t>2</w:t>
      </w:r>
      <w:r>
        <w:rPr>
          <w:rFonts w:ascii="Times New Roman" w:hAnsi="Times New Roman" w:cs="Times New Roman"/>
          <w:b/>
          <w:bCs/>
          <w:color w:val="000000" w:themeColor="text1"/>
          <w:sz w:val="18"/>
          <w:szCs w:val="18"/>
        </w:rPr>
        <w:t>.</w:t>
      </w:r>
      <w:r w:rsidRPr="00A00243">
        <w:rPr>
          <w:rFonts w:ascii="Times New Roman" w:eastAsia="宋体" w:hAnsi="Times New Roman"/>
          <w:bCs/>
          <w:color w:val="000000" w:themeColor="text1"/>
          <w:sz w:val="18"/>
          <w:szCs w:val="18"/>
        </w:rPr>
        <w:t xml:space="preserve"> </w:t>
      </w:r>
      <w:r w:rsidRPr="00A00243">
        <w:rPr>
          <w:rFonts w:ascii="Times New Roman" w:eastAsia="宋体" w:hAnsi="Times New Roman" w:hint="eastAsia"/>
          <w:bCs/>
          <w:color w:val="000000" w:themeColor="text1"/>
          <w:sz w:val="18"/>
          <w:szCs w:val="18"/>
        </w:rPr>
        <w:t>Data Processing Flowchart</w:t>
      </w:r>
      <w:r w:rsidRPr="00A00243">
        <w:rPr>
          <w:rFonts w:ascii="Times New Roman" w:eastAsia="宋体" w:hAnsi="Times New Roman"/>
          <w:bCs/>
          <w:color w:val="000000" w:themeColor="text1"/>
          <w:sz w:val="18"/>
          <w:szCs w:val="18"/>
        </w:rPr>
        <w:t>.</w:t>
      </w:r>
    </w:p>
    <w:p w14:paraId="472B61FC" w14:textId="77777777" w:rsidR="00A00243" w:rsidRDefault="00A00243">
      <w:pPr>
        <w:rPr>
          <w:rFonts w:ascii="Times New Roman" w:hAnsi="Times New Roman" w:cs="Times New Roman"/>
          <w:b/>
          <w:bCs/>
          <w:color w:val="000000" w:themeColor="text1"/>
          <w:sz w:val="18"/>
          <w:szCs w:val="18"/>
        </w:rPr>
      </w:pPr>
    </w:p>
    <w:p w14:paraId="458A445F" w14:textId="78C3E348" w:rsidR="00A00243" w:rsidRDefault="00A00243">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Supplementary Figure </w:t>
      </w:r>
      <w:r>
        <w:rPr>
          <w:rFonts w:ascii="Times New Roman" w:hAnsi="Times New Roman" w:cs="Times New Roman" w:hint="eastAsia"/>
          <w:b/>
          <w:bCs/>
          <w:color w:val="000000" w:themeColor="text1"/>
          <w:sz w:val="18"/>
          <w:szCs w:val="18"/>
        </w:rPr>
        <w:t>3</w:t>
      </w:r>
      <w:r>
        <w:rPr>
          <w:rFonts w:ascii="Times New Roman" w:hAnsi="Times New Roman" w:cs="Times New Roman"/>
          <w:b/>
          <w:bCs/>
          <w:color w:val="000000" w:themeColor="text1"/>
          <w:sz w:val="18"/>
          <w:szCs w:val="18"/>
        </w:rPr>
        <w:t>.</w:t>
      </w:r>
      <w:r>
        <w:rPr>
          <w:rFonts w:ascii="Times New Roman" w:hAnsi="Times New Roman" w:cs="Times New Roman" w:hint="eastAsia"/>
          <w:b/>
          <w:bCs/>
          <w:color w:val="000000" w:themeColor="text1"/>
          <w:sz w:val="18"/>
          <w:szCs w:val="18"/>
        </w:rPr>
        <w:t xml:space="preserve"> </w:t>
      </w:r>
      <w:r w:rsidRPr="00A00243">
        <w:rPr>
          <w:rFonts w:ascii="Times New Roman" w:eastAsia="宋体" w:hAnsi="Times New Roman"/>
          <w:bCs/>
          <w:color w:val="000000" w:themeColor="text1"/>
          <w:sz w:val="18"/>
          <w:szCs w:val="18"/>
        </w:rPr>
        <w:t xml:space="preserve">Core and unique infant </w:t>
      </w:r>
      <w:r w:rsidRPr="00A00243">
        <w:rPr>
          <w:rFonts w:ascii="Times New Roman" w:eastAsia="宋体" w:hAnsi="Times New Roman" w:hint="eastAsia"/>
          <w:bCs/>
          <w:color w:val="000000" w:themeColor="text1"/>
          <w:sz w:val="18"/>
          <w:szCs w:val="18"/>
        </w:rPr>
        <w:t>gut microbiota across postnatal time points.</w:t>
      </w:r>
    </w:p>
    <w:p w14:paraId="4436E52D" w14:textId="77777777" w:rsidR="00A00243" w:rsidRDefault="00A00243">
      <w:pPr>
        <w:rPr>
          <w:rFonts w:ascii="Times New Roman" w:hAnsi="Times New Roman" w:cs="Times New Roman"/>
          <w:b/>
          <w:bCs/>
          <w:color w:val="000000" w:themeColor="text1"/>
          <w:sz w:val="18"/>
          <w:szCs w:val="18"/>
        </w:rPr>
      </w:pPr>
    </w:p>
    <w:p w14:paraId="485AC5BA" w14:textId="6AAC3762" w:rsidR="00A00243" w:rsidRDefault="00A00243">
      <w:pPr>
        <w:rPr>
          <w:rFonts w:ascii="Times New Roman" w:hAnsi="Times New Roman" w:cs="Times New Roman"/>
          <w:b/>
          <w:bCs/>
          <w:color w:val="000000" w:themeColor="text1"/>
          <w:sz w:val="18"/>
          <w:szCs w:val="18"/>
        </w:rPr>
      </w:pPr>
      <w:r>
        <w:rPr>
          <w:rFonts w:ascii="Times New Roman" w:hAnsi="Times New Roman" w:cs="Times New Roman" w:hint="eastAsia"/>
          <w:b/>
          <w:bCs/>
          <w:color w:val="000000" w:themeColor="text1"/>
          <w:sz w:val="18"/>
          <w:szCs w:val="18"/>
        </w:rPr>
        <w:t xml:space="preserve">Supplementary Figure 4. </w:t>
      </w:r>
      <w:r w:rsidRPr="00A00243">
        <w:rPr>
          <w:rFonts w:ascii="Times New Roman" w:eastAsia="宋体" w:hAnsi="Times New Roman" w:hint="eastAsia"/>
          <w:bCs/>
          <w:color w:val="000000" w:themeColor="text1"/>
          <w:sz w:val="18"/>
          <w:szCs w:val="18"/>
        </w:rPr>
        <w:t>Single factors associated with variation in gut microbiota composition.</w:t>
      </w:r>
    </w:p>
    <w:p w14:paraId="7CEFCA8F" w14:textId="77777777" w:rsidR="00A00243" w:rsidRDefault="00A00243">
      <w:pPr>
        <w:rPr>
          <w:rFonts w:ascii="Times New Roman" w:hAnsi="Times New Roman" w:cs="Times New Roman"/>
          <w:b/>
          <w:bCs/>
          <w:color w:val="000000" w:themeColor="text1"/>
          <w:sz w:val="18"/>
          <w:szCs w:val="18"/>
        </w:rPr>
      </w:pPr>
    </w:p>
    <w:p w14:paraId="69223BFB" w14:textId="6478E52F" w:rsidR="00A00243" w:rsidRDefault="00A00243">
      <w:pPr>
        <w:rPr>
          <w:rFonts w:ascii="Times New Roman" w:hAnsi="Times New Roman" w:cs="Times New Roman"/>
          <w:b/>
          <w:bCs/>
          <w:color w:val="000000" w:themeColor="text1"/>
          <w:sz w:val="18"/>
          <w:szCs w:val="18"/>
        </w:rPr>
      </w:pPr>
      <w:r>
        <w:rPr>
          <w:rFonts w:ascii="Times New Roman" w:hAnsi="Times New Roman" w:cs="Times New Roman" w:hint="eastAsia"/>
          <w:b/>
          <w:bCs/>
          <w:color w:val="000000" w:themeColor="text1"/>
          <w:sz w:val="18"/>
          <w:szCs w:val="18"/>
        </w:rPr>
        <w:t xml:space="preserve">Supplementary Figure 5. </w:t>
      </w:r>
      <w:r w:rsidRPr="00A00243">
        <w:rPr>
          <w:rFonts w:ascii="Times New Roman" w:eastAsia="宋体" w:hAnsi="Times New Roman" w:hint="eastAsia"/>
          <w:bCs/>
          <w:color w:val="000000" w:themeColor="text1"/>
          <w:sz w:val="18"/>
          <w:szCs w:val="18"/>
        </w:rPr>
        <w:t>Temporal trend plot for 6 clustering groups.</w:t>
      </w:r>
    </w:p>
    <w:p w14:paraId="656F35F8" w14:textId="77777777" w:rsidR="00A00243" w:rsidRDefault="00A00243">
      <w:pPr>
        <w:rPr>
          <w:rFonts w:ascii="Times New Roman" w:hAnsi="Times New Roman" w:cs="Times New Roman"/>
          <w:b/>
          <w:bCs/>
          <w:color w:val="000000" w:themeColor="text1"/>
          <w:sz w:val="18"/>
          <w:szCs w:val="18"/>
        </w:rPr>
      </w:pPr>
    </w:p>
    <w:p w14:paraId="35B4AEAA" w14:textId="400EB067" w:rsidR="00A00243" w:rsidRDefault="00A00243">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Supplementary Figure </w:t>
      </w:r>
      <w:r>
        <w:rPr>
          <w:rFonts w:ascii="Times New Roman" w:hAnsi="Times New Roman" w:cs="Times New Roman" w:hint="eastAsia"/>
          <w:b/>
          <w:bCs/>
          <w:color w:val="000000" w:themeColor="text1"/>
          <w:sz w:val="18"/>
          <w:szCs w:val="18"/>
        </w:rPr>
        <w:t>6</w:t>
      </w:r>
      <w:r>
        <w:rPr>
          <w:rFonts w:ascii="Times New Roman" w:hAnsi="Times New Roman" w:cs="Times New Roman"/>
          <w:b/>
          <w:bCs/>
          <w:color w:val="000000" w:themeColor="text1"/>
          <w:sz w:val="18"/>
          <w:szCs w:val="18"/>
        </w:rPr>
        <w:t xml:space="preserve">. </w:t>
      </w:r>
      <w:r w:rsidRPr="00A00243">
        <w:rPr>
          <w:rFonts w:ascii="Times New Roman" w:eastAsia="宋体" w:hAnsi="Times New Roman"/>
          <w:bCs/>
          <w:color w:val="000000" w:themeColor="text1"/>
          <w:sz w:val="18"/>
          <w:szCs w:val="18"/>
        </w:rPr>
        <w:t xml:space="preserve">Heatmap of the relative abundances of Level </w:t>
      </w:r>
      <w:r w:rsidRPr="00A00243">
        <w:rPr>
          <w:rFonts w:ascii="Times New Roman" w:eastAsia="宋体" w:hAnsi="Times New Roman" w:hint="eastAsia"/>
          <w:bCs/>
          <w:color w:val="000000" w:themeColor="text1"/>
          <w:sz w:val="18"/>
          <w:szCs w:val="18"/>
        </w:rPr>
        <w:t>1</w:t>
      </w:r>
      <w:r w:rsidRPr="00A00243">
        <w:rPr>
          <w:rFonts w:ascii="Times New Roman" w:eastAsia="宋体" w:hAnsi="Times New Roman"/>
          <w:bCs/>
          <w:color w:val="000000" w:themeColor="text1"/>
          <w:sz w:val="18"/>
          <w:szCs w:val="18"/>
        </w:rPr>
        <w:t xml:space="preserve"> (L1) functional categories.</w:t>
      </w:r>
    </w:p>
    <w:p w14:paraId="1852A5AE" w14:textId="77777777" w:rsidR="00A00243" w:rsidRDefault="00A00243">
      <w:pPr>
        <w:rPr>
          <w:rFonts w:ascii="Times New Roman" w:hAnsi="Times New Roman" w:cs="Times New Roman"/>
          <w:b/>
          <w:bCs/>
          <w:color w:val="000000" w:themeColor="text1"/>
          <w:sz w:val="18"/>
          <w:szCs w:val="18"/>
        </w:rPr>
      </w:pPr>
    </w:p>
    <w:p w14:paraId="73DC6F82" w14:textId="41FF1F27" w:rsidR="00A00243" w:rsidRDefault="00A00243">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Supplementary Figure </w:t>
      </w:r>
      <w:r>
        <w:rPr>
          <w:rFonts w:ascii="Times New Roman" w:hAnsi="Times New Roman" w:cs="Times New Roman" w:hint="eastAsia"/>
          <w:b/>
          <w:bCs/>
          <w:color w:val="000000" w:themeColor="text1"/>
          <w:sz w:val="18"/>
          <w:szCs w:val="18"/>
        </w:rPr>
        <w:t>7</w:t>
      </w:r>
      <w:r>
        <w:rPr>
          <w:rFonts w:ascii="Times New Roman" w:hAnsi="Times New Roman" w:cs="Times New Roman"/>
          <w:b/>
          <w:bCs/>
          <w:color w:val="000000" w:themeColor="text1"/>
          <w:sz w:val="18"/>
          <w:szCs w:val="18"/>
        </w:rPr>
        <w:t>.</w:t>
      </w:r>
      <w:r w:rsidRPr="00A00243">
        <w:rPr>
          <w:rFonts w:ascii="Times New Roman" w:eastAsia="宋体" w:hAnsi="Times New Roman"/>
          <w:bCs/>
          <w:color w:val="000000" w:themeColor="text1"/>
          <w:sz w:val="18"/>
          <w:szCs w:val="18"/>
        </w:rPr>
        <w:t xml:space="preserve"> Heatmap of the relative abundances of Level 2 (L2) functional modules.</w:t>
      </w:r>
    </w:p>
    <w:p w14:paraId="01037B98" w14:textId="77777777" w:rsidR="00A00243" w:rsidRDefault="00A00243">
      <w:pPr>
        <w:rPr>
          <w:rFonts w:ascii="Times New Roman" w:hAnsi="Times New Roman" w:cs="Times New Roman"/>
          <w:b/>
          <w:bCs/>
          <w:color w:val="000000" w:themeColor="text1"/>
          <w:sz w:val="18"/>
          <w:szCs w:val="18"/>
        </w:rPr>
      </w:pPr>
    </w:p>
    <w:p w14:paraId="60074870" w14:textId="13747B1B" w:rsidR="00A00243" w:rsidRDefault="00A00243">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Supplementary Figure </w:t>
      </w:r>
      <w:r>
        <w:rPr>
          <w:rFonts w:ascii="Times New Roman" w:hAnsi="Times New Roman" w:cs="Times New Roman" w:hint="eastAsia"/>
          <w:b/>
          <w:bCs/>
          <w:color w:val="000000" w:themeColor="text1"/>
          <w:sz w:val="18"/>
          <w:szCs w:val="18"/>
        </w:rPr>
        <w:t>8</w:t>
      </w:r>
      <w:r>
        <w:rPr>
          <w:rFonts w:ascii="Times New Roman" w:hAnsi="Times New Roman" w:cs="Times New Roman"/>
          <w:b/>
          <w:bCs/>
          <w:color w:val="000000" w:themeColor="text1"/>
          <w:sz w:val="18"/>
          <w:szCs w:val="18"/>
        </w:rPr>
        <w:t>.</w:t>
      </w:r>
      <w:r w:rsidRPr="00A00243">
        <w:rPr>
          <w:rFonts w:ascii="Times New Roman" w:eastAsia="宋体" w:hAnsi="Times New Roman"/>
          <w:bCs/>
          <w:color w:val="000000" w:themeColor="text1"/>
          <w:sz w:val="18"/>
          <w:szCs w:val="18"/>
        </w:rPr>
        <w:t xml:space="preserve"> Heatmap of the relative abundances of Level 3 (L3) metabolic pathways.</w:t>
      </w:r>
    </w:p>
    <w:p w14:paraId="2C02C322" w14:textId="77777777" w:rsidR="00A00243" w:rsidRDefault="00A00243">
      <w:pPr>
        <w:rPr>
          <w:rFonts w:ascii="Times New Roman" w:hAnsi="Times New Roman" w:cs="Times New Roman"/>
          <w:b/>
          <w:bCs/>
          <w:color w:val="000000" w:themeColor="text1"/>
          <w:sz w:val="18"/>
          <w:szCs w:val="18"/>
        </w:rPr>
      </w:pPr>
    </w:p>
    <w:p w14:paraId="1FDEB89E" w14:textId="77777777" w:rsidR="00A94F54" w:rsidRDefault="00A94F54">
      <w:pPr>
        <w:rPr>
          <w:rFonts w:ascii="Times New Roman" w:hAnsi="Times New Roman" w:cs="Times New Roman"/>
          <w:b/>
          <w:bCs/>
          <w:color w:val="000000" w:themeColor="text1"/>
          <w:sz w:val="18"/>
          <w:szCs w:val="18"/>
        </w:rPr>
      </w:pPr>
    </w:p>
    <w:p w14:paraId="1AB4AB88" w14:textId="77777777" w:rsidR="00A94F54" w:rsidRDefault="00A94F54">
      <w:pPr>
        <w:rPr>
          <w:rFonts w:ascii="Times New Roman" w:hAnsi="Times New Roman" w:cs="Times New Roman" w:hint="eastAsia"/>
          <w:b/>
          <w:bCs/>
          <w:color w:val="000000" w:themeColor="text1"/>
          <w:sz w:val="18"/>
          <w:szCs w:val="18"/>
        </w:rPr>
      </w:pPr>
    </w:p>
    <w:p w14:paraId="68DC8CE9" w14:textId="362935E0" w:rsidR="00A94F54" w:rsidRDefault="00A94F54">
      <w:pPr>
        <w:rPr>
          <w:rFonts w:ascii="Times New Roman" w:eastAsia="宋体" w:hAnsi="Times New Roman"/>
          <w:b/>
          <w:color w:val="000000" w:themeColor="text1"/>
          <w:sz w:val="24"/>
          <w:szCs w:val="28"/>
        </w:rPr>
      </w:pPr>
      <w:r w:rsidRPr="00A94F54">
        <w:rPr>
          <w:rFonts w:ascii="Times New Roman" w:eastAsia="宋体" w:hAnsi="Times New Roman" w:hint="eastAsia"/>
          <w:b/>
          <w:color w:val="000000" w:themeColor="text1"/>
          <w:sz w:val="24"/>
          <w:szCs w:val="28"/>
        </w:rPr>
        <w:t>Supplement Figure legends</w:t>
      </w:r>
    </w:p>
    <w:p w14:paraId="2600417A" w14:textId="77777777" w:rsidR="00A94F54" w:rsidRDefault="00A94F54">
      <w:pPr>
        <w:rPr>
          <w:rFonts w:ascii="Times New Roman" w:eastAsia="宋体" w:hAnsi="Times New Roman" w:hint="eastAsia"/>
          <w:b/>
          <w:color w:val="000000" w:themeColor="text1"/>
          <w:sz w:val="24"/>
          <w:szCs w:val="28"/>
        </w:rPr>
      </w:pPr>
    </w:p>
    <w:p w14:paraId="56FC7A25"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hint="eastAsia"/>
          <w:b/>
          <w:bCs/>
          <w:color w:val="000000" w:themeColor="text1"/>
          <w:sz w:val="18"/>
          <w:szCs w:val="18"/>
        </w:rPr>
        <w:t xml:space="preserve">Supplementary table 1. The final ASV abundances, taxon abundances, and Tax4Fun2 pathway abundances. </w:t>
      </w:r>
      <w:r>
        <w:rPr>
          <w:rFonts w:ascii="Times New Roman" w:hAnsi="Times New Roman" w:cs="Times New Roman" w:hint="eastAsia"/>
          <w:color w:val="000000" w:themeColor="text1"/>
          <w:sz w:val="18"/>
          <w:szCs w:val="18"/>
        </w:rPr>
        <w:t>All data included in this table are the final analytical data obtained following a series of filtration and screening procedures.</w:t>
      </w:r>
    </w:p>
    <w:p w14:paraId="2EE6B974" w14:textId="77777777" w:rsidR="008E7A03" w:rsidRDefault="00000000">
      <w:pPr>
        <w:ind w:firstLineChars="200" w:firstLine="360"/>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Given the substantial volume of data contained in Supplementary Table 1, this dataset is provided as supplementary material in the form of a table file.</w:t>
      </w:r>
    </w:p>
    <w:p w14:paraId="64657313" w14:textId="77777777" w:rsidR="008E7A03" w:rsidRDefault="008E7A03">
      <w:pPr>
        <w:rPr>
          <w:rFonts w:ascii="Times New Roman" w:hAnsi="Times New Roman" w:cs="Times New Roman"/>
          <w:b/>
          <w:bCs/>
          <w:color w:val="000000" w:themeColor="text1"/>
          <w:sz w:val="18"/>
          <w:szCs w:val="18"/>
        </w:rPr>
      </w:pPr>
    </w:p>
    <w:p w14:paraId="22FC9B3D"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hint="eastAsia"/>
          <w:b/>
          <w:bCs/>
          <w:color w:val="000000" w:themeColor="text1"/>
          <w:sz w:val="18"/>
          <w:szCs w:val="18"/>
        </w:rPr>
        <w:t xml:space="preserve">Supplementary table 2. </w:t>
      </w:r>
      <w:r>
        <w:rPr>
          <w:rFonts w:ascii="Times New Roman" w:hAnsi="Times New Roman" w:cs="Times New Roman"/>
          <w:b/>
          <w:bCs/>
          <w:color w:val="000000" w:themeColor="text1"/>
          <w:sz w:val="18"/>
          <w:szCs w:val="18"/>
        </w:rPr>
        <w:t>Core Results Table of MaasLin2 Association Analysis</w:t>
      </w:r>
      <w:r>
        <w:rPr>
          <w:rFonts w:ascii="Times New Roman" w:hAnsi="Times New Roman" w:cs="Times New Roman" w:hint="eastAsia"/>
          <w:b/>
          <w:bCs/>
          <w:color w:val="000000" w:themeColor="text1"/>
          <w:sz w:val="18"/>
          <w:szCs w:val="18"/>
        </w:rPr>
        <w:t xml:space="preserve">. </w:t>
      </w:r>
      <w:r>
        <w:rPr>
          <w:rFonts w:ascii="Times New Roman" w:hAnsi="Times New Roman" w:cs="Times New Roman" w:hint="eastAsia"/>
          <w:color w:val="000000" w:themeColor="text1"/>
          <w:sz w:val="18"/>
          <w:szCs w:val="18"/>
        </w:rPr>
        <w:t xml:space="preserve">N represents the total sample size included in the analysis; N.not.0 denotes the number of samples with non-zero abundance for this cluster; </w:t>
      </w:r>
      <w:proofErr w:type="spellStart"/>
      <w:r>
        <w:rPr>
          <w:rFonts w:ascii="Times New Roman" w:hAnsi="Times New Roman" w:cs="Times New Roman" w:hint="eastAsia"/>
          <w:color w:val="000000" w:themeColor="text1"/>
          <w:sz w:val="18"/>
          <w:szCs w:val="18"/>
        </w:rPr>
        <w:t>pval</w:t>
      </w:r>
      <w:proofErr w:type="spellEnd"/>
      <w:r>
        <w:rPr>
          <w:rFonts w:ascii="Times New Roman" w:hAnsi="Times New Roman" w:cs="Times New Roman" w:hint="eastAsia"/>
          <w:color w:val="000000" w:themeColor="text1"/>
          <w:sz w:val="18"/>
          <w:szCs w:val="18"/>
        </w:rPr>
        <w:t xml:space="preserve"> is the raw P-value (statistical significance without correction); </w:t>
      </w:r>
      <w:proofErr w:type="spellStart"/>
      <w:r>
        <w:rPr>
          <w:rFonts w:ascii="Times New Roman" w:hAnsi="Times New Roman" w:cs="Times New Roman" w:hint="eastAsia"/>
          <w:color w:val="000000" w:themeColor="text1"/>
          <w:sz w:val="18"/>
          <w:szCs w:val="18"/>
        </w:rPr>
        <w:t>qval</w:t>
      </w:r>
      <w:proofErr w:type="spellEnd"/>
      <w:r>
        <w:rPr>
          <w:rFonts w:ascii="Times New Roman" w:hAnsi="Times New Roman" w:cs="Times New Roman" w:hint="eastAsia"/>
          <w:color w:val="000000" w:themeColor="text1"/>
          <w:sz w:val="18"/>
          <w:szCs w:val="18"/>
        </w:rPr>
        <w:t xml:space="preserve"> is the P-value adjusted via the Benjamini-Hochberg (BH) multiple testing correction (a </w:t>
      </w:r>
      <w:proofErr w:type="spellStart"/>
      <w:r>
        <w:rPr>
          <w:rFonts w:ascii="Times New Roman" w:hAnsi="Times New Roman" w:cs="Times New Roman" w:hint="eastAsia"/>
          <w:color w:val="000000" w:themeColor="text1"/>
          <w:sz w:val="18"/>
          <w:szCs w:val="18"/>
        </w:rPr>
        <w:t>qval</w:t>
      </w:r>
      <w:proofErr w:type="spellEnd"/>
      <w:r>
        <w:rPr>
          <w:rFonts w:ascii="Times New Roman" w:hAnsi="Times New Roman" w:cs="Times New Roman" w:hint="eastAsia"/>
          <w:color w:val="000000" w:themeColor="text1"/>
          <w:sz w:val="18"/>
          <w:szCs w:val="18"/>
        </w:rPr>
        <w:t xml:space="preserve"> &lt; 0.05 was considered statistically significant in this study).</w:t>
      </w:r>
    </w:p>
    <w:p w14:paraId="4FDC25E3" w14:textId="77777777" w:rsidR="008E7A03" w:rsidRDefault="008E7A03">
      <w:pPr>
        <w:rPr>
          <w:rFonts w:ascii="Times New Roman" w:hAnsi="Times New Roman" w:cs="Times New Roman"/>
          <w:color w:val="000000" w:themeColor="text1"/>
          <w:sz w:val="18"/>
          <w:szCs w:val="18"/>
        </w:rPr>
      </w:pPr>
    </w:p>
    <w:p w14:paraId="079D7928" w14:textId="77777777" w:rsidR="00A94F54" w:rsidRDefault="00A94F54">
      <w:pPr>
        <w:rPr>
          <w:rFonts w:ascii="Times New Roman" w:hAnsi="Times New Roman" w:cs="Times New Roman"/>
          <w:color w:val="000000" w:themeColor="text1"/>
          <w:sz w:val="18"/>
          <w:szCs w:val="18"/>
        </w:rPr>
      </w:pPr>
    </w:p>
    <w:p w14:paraId="440FF31A" w14:textId="77777777" w:rsidR="00A94F54" w:rsidRDefault="00A94F54">
      <w:pPr>
        <w:rPr>
          <w:rFonts w:ascii="Times New Roman" w:hAnsi="Times New Roman" w:cs="Times New Roman"/>
          <w:color w:val="000000" w:themeColor="text1"/>
          <w:sz w:val="18"/>
          <w:szCs w:val="18"/>
        </w:rPr>
      </w:pPr>
    </w:p>
    <w:p w14:paraId="605C7AD6" w14:textId="77777777" w:rsidR="00A94F54" w:rsidRDefault="00A94F54">
      <w:pPr>
        <w:rPr>
          <w:rFonts w:ascii="Times New Roman" w:hAnsi="Times New Roman" w:cs="Times New Roman"/>
          <w:color w:val="000000" w:themeColor="text1"/>
          <w:sz w:val="18"/>
          <w:szCs w:val="18"/>
        </w:rPr>
      </w:pPr>
    </w:p>
    <w:p w14:paraId="1E6B1C1B" w14:textId="77777777" w:rsidR="00A94F54" w:rsidRDefault="00A94F54">
      <w:pPr>
        <w:rPr>
          <w:rFonts w:ascii="Times New Roman" w:hAnsi="Times New Roman" w:cs="Times New Roman" w:hint="eastAsia"/>
          <w:color w:val="000000" w:themeColor="text1"/>
          <w:sz w:val="18"/>
          <w:szCs w:val="18"/>
        </w:rPr>
      </w:pPr>
    </w:p>
    <w:tbl>
      <w:tblPr>
        <w:tblW w:w="9035" w:type="dxa"/>
        <w:jc w:val="center"/>
        <w:tblLayout w:type="fixed"/>
        <w:tblLook w:val="04A0" w:firstRow="1" w:lastRow="0" w:firstColumn="1" w:lastColumn="0" w:noHBand="0" w:noVBand="1"/>
      </w:tblPr>
      <w:tblGrid>
        <w:gridCol w:w="1293"/>
        <w:gridCol w:w="1247"/>
        <w:gridCol w:w="1097"/>
        <w:gridCol w:w="1106"/>
        <w:gridCol w:w="1454"/>
        <w:gridCol w:w="2838"/>
      </w:tblGrid>
      <w:tr w:rsidR="008E7A03" w14:paraId="54CEE48C" w14:textId="77777777">
        <w:trPr>
          <w:trHeight w:val="326"/>
          <w:jc w:val="center"/>
        </w:trPr>
        <w:tc>
          <w:tcPr>
            <w:tcW w:w="1293" w:type="dxa"/>
            <w:tcBorders>
              <w:top w:val="single" w:sz="12" w:space="0" w:color="000000"/>
              <w:left w:val="nil"/>
              <w:bottom w:val="single" w:sz="12" w:space="0" w:color="000000"/>
              <w:right w:val="nil"/>
            </w:tcBorders>
            <w:noWrap/>
            <w:vAlign w:val="center"/>
          </w:tcPr>
          <w:p w14:paraId="4BA64E2E"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w:t>
            </w:r>
          </w:p>
        </w:tc>
        <w:tc>
          <w:tcPr>
            <w:tcW w:w="1247" w:type="dxa"/>
            <w:tcBorders>
              <w:top w:val="single" w:sz="12" w:space="0" w:color="000000"/>
              <w:left w:val="nil"/>
              <w:bottom w:val="single" w:sz="12" w:space="0" w:color="000000"/>
              <w:right w:val="nil"/>
            </w:tcBorders>
            <w:noWrap/>
            <w:vAlign w:val="center"/>
          </w:tcPr>
          <w:p w14:paraId="461216F3"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value</w:t>
            </w:r>
          </w:p>
        </w:tc>
        <w:tc>
          <w:tcPr>
            <w:tcW w:w="1097" w:type="dxa"/>
            <w:tcBorders>
              <w:top w:val="single" w:sz="12" w:space="0" w:color="000000"/>
              <w:left w:val="nil"/>
              <w:bottom w:val="single" w:sz="12" w:space="0" w:color="000000"/>
              <w:right w:val="nil"/>
            </w:tcBorders>
            <w:noWrap/>
            <w:vAlign w:val="center"/>
          </w:tcPr>
          <w:p w14:paraId="3F0732C2"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N</w:t>
            </w:r>
          </w:p>
        </w:tc>
        <w:tc>
          <w:tcPr>
            <w:tcW w:w="1106" w:type="dxa"/>
            <w:tcBorders>
              <w:top w:val="single" w:sz="12" w:space="0" w:color="000000"/>
              <w:left w:val="nil"/>
              <w:bottom w:val="single" w:sz="12" w:space="0" w:color="000000"/>
              <w:right w:val="nil"/>
            </w:tcBorders>
            <w:noWrap/>
            <w:vAlign w:val="center"/>
          </w:tcPr>
          <w:p w14:paraId="12330516"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N.not.0</w:t>
            </w:r>
          </w:p>
        </w:tc>
        <w:tc>
          <w:tcPr>
            <w:tcW w:w="1454" w:type="dxa"/>
            <w:tcBorders>
              <w:top w:val="single" w:sz="12" w:space="0" w:color="000000"/>
              <w:left w:val="nil"/>
              <w:bottom w:val="single" w:sz="12" w:space="0" w:color="000000"/>
              <w:right w:val="nil"/>
            </w:tcBorders>
            <w:noWrap/>
            <w:vAlign w:val="center"/>
          </w:tcPr>
          <w:p w14:paraId="4A56D0D8" w14:textId="77777777" w:rsidR="008E7A03" w:rsidRDefault="00000000">
            <w:pPr>
              <w:widowControl/>
              <w:jc w:val="center"/>
              <w:textAlignment w:val="center"/>
              <w:rPr>
                <w:rFonts w:ascii="Times New Roman" w:eastAsia="宋体" w:hAnsi="Times New Roman" w:cs="Times New Roman"/>
                <w:color w:val="000000" w:themeColor="text1"/>
                <w:sz w:val="22"/>
              </w:rPr>
            </w:pPr>
            <w:proofErr w:type="spellStart"/>
            <w:r>
              <w:rPr>
                <w:rFonts w:ascii="Times New Roman" w:eastAsia="宋体" w:hAnsi="Times New Roman" w:cs="Times New Roman"/>
                <w:color w:val="000000" w:themeColor="text1"/>
                <w:kern w:val="0"/>
                <w:sz w:val="22"/>
                <w:lang w:bidi="ar"/>
              </w:rPr>
              <w:t>pval</w:t>
            </w:r>
            <w:proofErr w:type="spellEnd"/>
          </w:p>
        </w:tc>
        <w:tc>
          <w:tcPr>
            <w:tcW w:w="2838" w:type="dxa"/>
            <w:tcBorders>
              <w:top w:val="single" w:sz="12" w:space="0" w:color="000000"/>
              <w:left w:val="nil"/>
              <w:bottom w:val="single" w:sz="12" w:space="0" w:color="000000"/>
              <w:right w:val="nil"/>
            </w:tcBorders>
            <w:noWrap/>
            <w:vAlign w:val="center"/>
          </w:tcPr>
          <w:p w14:paraId="7F96BC9E" w14:textId="77777777" w:rsidR="008E7A03" w:rsidRDefault="00000000">
            <w:pPr>
              <w:widowControl/>
              <w:jc w:val="center"/>
              <w:textAlignment w:val="center"/>
              <w:rPr>
                <w:rFonts w:ascii="Times New Roman" w:eastAsia="宋体" w:hAnsi="Times New Roman" w:cs="Times New Roman"/>
                <w:color w:val="000000" w:themeColor="text1"/>
                <w:sz w:val="22"/>
              </w:rPr>
            </w:pPr>
            <w:proofErr w:type="spellStart"/>
            <w:r>
              <w:rPr>
                <w:rFonts w:ascii="Times New Roman" w:eastAsia="宋体" w:hAnsi="Times New Roman" w:cs="Times New Roman"/>
                <w:color w:val="000000" w:themeColor="text1"/>
                <w:kern w:val="0"/>
                <w:sz w:val="22"/>
                <w:lang w:bidi="ar"/>
              </w:rPr>
              <w:t>qval</w:t>
            </w:r>
            <w:proofErr w:type="spellEnd"/>
          </w:p>
        </w:tc>
      </w:tr>
      <w:tr w:rsidR="008E7A03" w14:paraId="3A322E29" w14:textId="77777777">
        <w:trPr>
          <w:trHeight w:val="326"/>
          <w:jc w:val="center"/>
        </w:trPr>
        <w:tc>
          <w:tcPr>
            <w:tcW w:w="1293" w:type="dxa"/>
            <w:tcBorders>
              <w:top w:val="nil"/>
              <w:left w:val="nil"/>
              <w:bottom w:val="nil"/>
              <w:right w:val="nil"/>
            </w:tcBorders>
            <w:noWrap/>
            <w:vAlign w:val="center"/>
          </w:tcPr>
          <w:p w14:paraId="20229F1C"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Cluster_2</w:t>
            </w:r>
          </w:p>
        </w:tc>
        <w:tc>
          <w:tcPr>
            <w:tcW w:w="1247" w:type="dxa"/>
            <w:tcBorders>
              <w:top w:val="nil"/>
              <w:left w:val="nil"/>
              <w:bottom w:val="nil"/>
              <w:right w:val="nil"/>
            </w:tcBorders>
            <w:noWrap/>
            <w:vAlign w:val="center"/>
          </w:tcPr>
          <w:p w14:paraId="6B3EBD40"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days</w:t>
            </w:r>
          </w:p>
        </w:tc>
        <w:tc>
          <w:tcPr>
            <w:tcW w:w="1097" w:type="dxa"/>
            <w:tcBorders>
              <w:top w:val="nil"/>
              <w:left w:val="nil"/>
              <w:bottom w:val="nil"/>
              <w:right w:val="nil"/>
            </w:tcBorders>
            <w:noWrap/>
            <w:vAlign w:val="center"/>
          </w:tcPr>
          <w:p w14:paraId="60EF3669"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68</w:t>
            </w:r>
          </w:p>
        </w:tc>
        <w:tc>
          <w:tcPr>
            <w:tcW w:w="1106" w:type="dxa"/>
            <w:tcBorders>
              <w:top w:val="nil"/>
              <w:left w:val="nil"/>
              <w:bottom w:val="nil"/>
              <w:right w:val="nil"/>
            </w:tcBorders>
            <w:noWrap/>
            <w:vAlign w:val="center"/>
          </w:tcPr>
          <w:p w14:paraId="54074537"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36</w:t>
            </w:r>
          </w:p>
        </w:tc>
        <w:tc>
          <w:tcPr>
            <w:tcW w:w="1454" w:type="dxa"/>
            <w:tcBorders>
              <w:top w:val="nil"/>
              <w:left w:val="nil"/>
              <w:bottom w:val="nil"/>
              <w:right w:val="nil"/>
            </w:tcBorders>
            <w:noWrap/>
            <w:vAlign w:val="center"/>
          </w:tcPr>
          <w:p w14:paraId="35F73E7A"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0.03</w:t>
            </w:r>
          </w:p>
        </w:tc>
        <w:tc>
          <w:tcPr>
            <w:tcW w:w="2838" w:type="dxa"/>
            <w:tcBorders>
              <w:top w:val="nil"/>
              <w:left w:val="nil"/>
              <w:bottom w:val="nil"/>
              <w:right w:val="nil"/>
            </w:tcBorders>
            <w:noWrap/>
            <w:vAlign w:val="center"/>
          </w:tcPr>
          <w:p w14:paraId="69248C95"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0.19</w:t>
            </w:r>
          </w:p>
        </w:tc>
      </w:tr>
      <w:tr w:rsidR="008E7A03" w14:paraId="63B1C89B" w14:textId="77777777">
        <w:trPr>
          <w:trHeight w:val="297"/>
          <w:jc w:val="center"/>
        </w:trPr>
        <w:tc>
          <w:tcPr>
            <w:tcW w:w="1293" w:type="dxa"/>
            <w:tcBorders>
              <w:top w:val="nil"/>
              <w:left w:val="nil"/>
              <w:bottom w:val="nil"/>
              <w:right w:val="nil"/>
            </w:tcBorders>
            <w:noWrap/>
            <w:vAlign w:val="center"/>
          </w:tcPr>
          <w:p w14:paraId="3221A24D"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Cluster_1</w:t>
            </w:r>
          </w:p>
        </w:tc>
        <w:tc>
          <w:tcPr>
            <w:tcW w:w="1247" w:type="dxa"/>
            <w:tcBorders>
              <w:top w:val="nil"/>
              <w:left w:val="nil"/>
              <w:bottom w:val="nil"/>
              <w:right w:val="nil"/>
            </w:tcBorders>
            <w:noWrap/>
            <w:vAlign w:val="center"/>
          </w:tcPr>
          <w:p w14:paraId="4F5C41C8"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days</w:t>
            </w:r>
          </w:p>
        </w:tc>
        <w:tc>
          <w:tcPr>
            <w:tcW w:w="1097" w:type="dxa"/>
            <w:tcBorders>
              <w:top w:val="nil"/>
              <w:left w:val="nil"/>
              <w:bottom w:val="nil"/>
              <w:right w:val="nil"/>
            </w:tcBorders>
            <w:noWrap/>
            <w:vAlign w:val="center"/>
          </w:tcPr>
          <w:p w14:paraId="21547F62"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68</w:t>
            </w:r>
          </w:p>
        </w:tc>
        <w:tc>
          <w:tcPr>
            <w:tcW w:w="1106" w:type="dxa"/>
            <w:tcBorders>
              <w:top w:val="nil"/>
              <w:left w:val="nil"/>
              <w:bottom w:val="nil"/>
              <w:right w:val="nil"/>
            </w:tcBorders>
            <w:noWrap/>
            <w:vAlign w:val="center"/>
          </w:tcPr>
          <w:p w14:paraId="41A79164"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34</w:t>
            </w:r>
          </w:p>
        </w:tc>
        <w:tc>
          <w:tcPr>
            <w:tcW w:w="1454" w:type="dxa"/>
            <w:tcBorders>
              <w:top w:val="nil"/>
              <w:left w:val="nil"/>
              <w:bottom w:val="nil"/>
              <w:right w:val="nil"/>
            </w:tcBorders>
            <w:noWrap/>
            <w:vAlign w:val="center"/>
          </w:tcPr>
          <w:p w14:paraId="54818B69"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0.17</w:t>
            </w:r>
          </w:p>
        </w:tc>
        <w:tc>
          <w:tcPr>
            <w:tcW w:w="2838" w:type="dxa"/>
            <w:tcBorders>
              <w:top w:val="nil"/>
              <w:left w:val="nil"/>
              <w:bottom w:val="nil"/>
              <w:right w:val="nil"/>
            </w:tcBorders>
            <w:noWrap/>
            <w:vAlign w:val="center"/>
          </w:tcPr>
          <w:p w14:paraId="08CE0C12"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0.34</w:t>
            </w:r>
          </w:p>
        </w:tc>
      </w:tr>
      <w:tr w:rsidR="008E7A03" w14:paraId="55CD84C8" w14:textId="77777777">
        <w:trPr>
          <w:trHeight w:val="297"/>
          <w:jc w:val="center"/>
        </w:trPr>
        <w:tc>
          <w:tcPr>
            <w:tcW w:w="1293" w:type="dxa"/>
            <w:tcBorders>
              <w:top w:val="nil"/>
              <w:left w:val="nil"/>
              <w:bottom w:val="nil"/>
              <w:right w:val="nil"/>
            </w:tcBorders>
            <w:noWrap/>
            <w:vAlign w:val="center"/>
          </w:tcPr>
          <w:p w14:paraId="3669D9BF"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Cluster_4</w:t>
            </w:r>
          </w:p>
        </w:tc>
        <w:tc>
          <w:tcPr>
            <w:tcW w:w="1247" w:type="dxa"/>
            <w:tcBorders>
              <w:top w:val="nil"/>
              <w:left w:val="nil"/>
              <w:bottom w:val="nil"/>
              <w:right w:val="nil"/>
            </w:tcBorders>
            <w:noWrap/>
            <w:vAlign w:val="center"/>
          </w:tcPr>
          <w:p w14:paraId="15D33C65"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days</w:t>
            </w:r>
          </w:p>
        </w:tc>
        <w:tc>
          <w:tcPr>
            <w:tcW w:w="1097" w:type="dxa"/>
            <w:tcBorders>
              <w:top w:val="nil"/>
              <w:left w:val="nil"/>
              <w:bottom w:val="nil"/>
              <w:right w:val="nil"/>
            </w:tcBorders>
            <w:noWrap/>
            <w:vAlign w:val="center"/>
          </w:tcPr>
          <w:p w14:paraId="63C0B785"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68</w:t>
            </w:r>
          </w:p>
        </w:tc>
        <w:tc>
          <w:tcPr>
            <w:tcW w:w="1106" w:type="dxa"/>
            <w:tcBorders>
              <w:top w:val="nil"/>
              <w:left w:val="nil"/>
              <w:bottom w:val="nil"/>
              <w:right w:val="nil"/>
            </w:tcBorders>
            <w:noWrap/>
            <w:vAlign w:val="center"/>
          </w:tcPr>
          <w:p w14:paraId="734D586F"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10</w:t>
            </w:r>
          </w:p>
        </w:tc>
        <w:tc>
          <w:tcPr>
            <w:tcW w:w="1454" w:type="dxa"/>
            <w:tcBorders>
              <w:top w:val="nil"/>
              <w:left w:val="nil"/>
              <w:bottom w:val="nil"/>
              <w:right w:val="nil"/>
            </w:tcBorders>
            <w:noWrap/>
            <w:vAlign w:val="center"/>
          </w:tcPr>
          <w:p w14:paraId="79468279"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0.12</w:t>
            </w:r>
          </w:p>
        </w:tc>
        <w:tc>
          <w:tcPr>
            <w:tcW w:w="2838" w:type="dxa"/>
            <w:tcBorders>
              <w:top w:val="nil"/>
              <w:left w:val="nil"/>
              <w:bottom w:val="nil"/>
              <w:right w:val="nil"/>
            </w:tcBorders>
            <w:noWrap/>
            <w:vAlign w:val="center"/>
          </w:tcPr>
          <w:p w14:paraId="21084861"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0.34</w:t>
            </w:r>
          </w:p>
        </w:tc>
      </w:tr>
      <w:tr w:rsidR="008E7A03" w14:paraId="6E98C43F" w14:textId="77777777">
        <w:trPr>
          <w:trHeight w:val="297"/>
          <w:jc w:val="center"/>
        </w:trPr>
        <w:tc>
          <w:tcPr>
            <w:tcW w:w="1293" w:type="dxa"/>
            <w:tcBorders>
              <w:top w:val="nil"/>
              <w:left w:val="nil"/>
              <w:bottom w:val="nil"/>
              <w:right w:val="nil"/>
            </w:tcBorders>
            <w:noWrap/>
            <w:vAlign w:val="center"/>
          </w:tcPr>
          <w:p w14:paraId="486BDACD"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Cluster_5</w:t>
            </w:r>
          </w:p>
        </w:tc>
        <w:tc>
          <w:tcPr>
            <w:tcW w:w="1247" w:type="dxa"/>
            <w:tcBorders>
              <w:top w:val="nil"/>
              <w:left w:val="nil"/>
              <w:bottom w:val="nil"/>
              <w:right w:val="nil"/>
            </w:tcBorders>
            <w:noWrap/>
            <w:vAlign w:val="center"/>
          </w:tcPr>
          <w:p w14:paraId="6CB5C4C2"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days</w:t>
            </w:r>
          </w:p>
        </w:tc>
        <w:tc>
          <w:tcPr>
            <w:tcW w:w="1097" w:type="dxa"/>
            <w:tcBorders>
              <w:top w:val="nil"/>
              <w:left w:val="nil"/>
              <w:bottom w:val="nil"/>
              <w:right w:val="nil"/>
            </w:tcBorders>
            <w:noWrap/>
            <w:vAlign w:val="center"/>
          </w:tcPr>
          <w:p w14:paraId="144A41F6"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68</w:t>
            </w:r>
          </w:p>
        </w:tc>
        <w:tc>
          <w:tcPr>
            <w:tcW w:w="1106" w:type="dxa"/>
            <w:tcBorders>
              <w:top w:val="nil"/>
              <w:left w:val="nil"/>
              <w:bottom w:val="nil"/>
              <w:right w:val="nil"/>
            </w:tcBorders>
            <w:noWrap/>
            <w:vAlign w:val="center"/>
          </w:tcPr>
          <w:p w14:paraId="7FD13B07"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13</w:t>
            </w:r>
          </w:p>
        </w:tc>
        <w:tc>
          <w:tcPr>
            <w:tcW w:w="1454" w:type="dxa"/>
            <w:tcBorders>
              <w:top w:val="nil"/>
              <w:left w:val="nil"/>
              <w:bottom w:val="nil"/>
              <w:right w:val="nil"/>
            </w:tcBorders>
            <w:noWrap/>
            <w:vAlign w:val="center"/>
          </w:tcPr>
          <w:p w14:paraId="18D27262"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0.41</w:t>
            </w:r>
          </w:p>
        </w:tc>
        <w:tc>
          <w:tcPr>
            <w:tcW w:w="2838" w:type="dxa"/>
            <w:tcBorders>
              <w:top w:val="nil"/>
              <w:left w:val="nil"/>
              <w:bottom w:val="nil"/>
              <w:right w:val="nil"/>
            </w:tcBorders>
            <w:noWrap/>
            <w:vAlign w:val="center"/>
          </w:tcPr>
          <w:p w14:paraId="5C7AD05F"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0.62</w:t>
            </w:r>
          </w:p>
        </w:tc>
      </w:tr>
      <w:tr w:rsidR="008E7A03" w14:paraId="6B4142E2" w14:textId="77777777">
        <w:trPr>
          <w:trHeight w:val="297"/>
          <w:jc w:val="center"/>
        </w:trPr>
        <w:tc>
          <w:tcPr>
            <w:tcW w:w="1293" w:type="dxa"/>
            <w:tcBorders>
              <w:top w:val="nil"/>
              <w:left w:val="nil"/>
              <w:bottom w:val="nil"/>
              <w:right w:val="nil"/>
            </w:tcBorders>
            <w:noWrap/>
            <w:vAlign w:val="center"/>
          </w:tcPr>
          <w:p w14:paraId="75AD88C3"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Cluster_3</w:t>
            </w:r>
          </w:p>
        </w:tc>
        <w:tc>
          <w:tcPr>
            <w:tcW w:w="1247" w:type="dxa"/>
            <w:tcBorders>
              <w:top w:val="nil"/>
              <w:left w:val="nil"/>
              <w:bottom w:val="nil"/>
              <w:right w:val="nil"/>
            </w:tcBorders>
            <w:noWrap/>
            <w:vAlign w:val="center"/>
          </w:tcPr>
          <w:p w14:paraId="1D64A5FD"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days</w:t>
            </w:r>
          </w:p>
        </w:tc>
        <w:tc>
          <w:tcPr>
            <w:tcW w:w="1097" w:type="dxa"/>
            <w:tcBorders>
              <w:top w:val="nil"/>
              <w:left w:val="nil"/>
              <w:bottom w:val="nil"/>
              <w:right w:val="nil"/>
            </w:tcBorders>
            <w:noWrap/>
            <w:vAlign w:val="center"/>
          </w:tcPr>
          <w:p w14:paraId="3940AC35"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68</w:t>
            </w:r>
          </w:p>
        </w:tc>
        <w:tc>
          <w:tcPr>
            <w:tcW w:w="1106" w:type="dxa"/>
            <w:tcBorders>
              <w:top w:val="nil"/>
              <w:left w:val="nil"/>
              <w:bottom w:val="nil"/>
              <w:right w:val="nil"/>
            </w:tcBorders>
            <w:noWrap/>
            <w:vAlign w:val="center"/>
          </w:tcPr>
          <w:p w14:paraId="011B4A2B"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17</w:t>
            </w:r>
          </w:p>
        </w:tc>
        <w:tc>
          <w:tcPr>
            <w:tcW w:w="1454" w:type="dxa"/>
            <w:tcBorders>
              <w:top w:val="nil"/>
              <w:left w:val="nil"/>
              <w:bottom w:val="nil"/>
              <w:right w:val="nil"/>
            </w:tcBorders>
            <w:noWrap/>
            <w:vAlign w:val="center"/>
          </w:tcPr>
          <w:p w14:paraId="0EF91017"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0.52</w:t>
            </w:r>
          </w:p>
        </w:tc>
        <w:tc>
          <w:tcPr>
            <w:tcW w:w="2838" w:type="dxa"/>
            <w:tcBorders>
              <w:top w:val="nil"/>
              <w:left w:val="nil"/>
              <w:bottom w:val="nil"/>
              <w:right w:val="nil"/>
            </w:tcBorders>
            <w:noWrap/>
            <w:vAlign w:val="center"/>
          </w:tcPr>
          <w:p w14:paraId="03EB0C3D"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0.63</w:t>
            </w:r>
          </w:p>
        </w:tc>
      </w:tr>
      <w:tr w:rsidR="008E7A03" w14:paraId="2F2B17D8" w14:textId="77777777">
        <w:trPr>
          <w:trHeight w:val="326"/>
          <w:jc w:val="center"/>
        </w:trPr>
        <w:tc>
          <w:tcPr>
            <w:tcW w:w="1293" w:type="dxa"/>
            <w:tcBorders>
              <w:top w:val="nil"/>
              <w:left w:val="nil"/>
              <w:bottom w:val="single" w:sz="12" w:space="0" w:color="000000"/>
              <w:right w:val="nil"/>
            </w:tcBorders>
            <w:noWrap/>
            <w:vAlign w:val="center"/>
          </w:tcPr>
          <w:p w14:paraId="41AFBB92"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Cluster_6</w:t>
            </w:r>
          </w:p>
        </w:tc>
        <w:tc>
          <w:tcPr>
            <w:tcW w:w="1247" w:type="dxa"/>
            <w:tcBorders>
              <w:top w:val="nil"/>
              <w:left w:val="nil"/>
              <w:bottom w:val="single" w:sz="12" w:space="0" w:color="000000"/>
              <w:right w:val="nil"/>
            </w:tcBorders>
            <w:noWrap/>
            <w:vAlign w:val="center"/>
          </w:tcPr>
          <w:p w14:paraId="0DBB9BA5"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days</w:t>
            </w:r>
          </w:p>
        </w:tc>
        <w:tc>
          <w:tcPr>
            <w:tcW w:w="1097" w:type="dxa"/>
            <w:tcBorders>
              <w:top w:val="nil"/>
              <w:left w:val="nil"/>
              <w:bottom w:val="single" w:sz="12" w:space="0" w:color="000000"/>
              <w:right w:val="nil"/>
            </w:tcBorders>
            <w:noWrap/>
            <w:vAlign w:val="center"/>
          </w:tcPr>
          <w:p w14:paraId="714EC6FB"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68</w:t>
            </w:r>
          </w:p>
        </w:tc>
        <w:tc>
          <w:tcPr>
            <w:tcW w:w="1106" w:type="dxa"/>
            <w:tcBorders>
              <w:top w:val="nil"/>
              <w:left w:val="nil"/>
              <w:bottom w:val="single" w:sz="12" w:space="0" w:color="000000"/>
              <w:right w:val="nil"/>
            </w:tcBorders>
            <w:noWrap/>
            <w:vAlign w:val="center"/>
          </w:tcPr>
          <w:p w14:paraId="7634744E"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7</w:t>
            </w:r>
          </w:p>
        </w:tc>
        <w:tc>
          <w:tcPr>
            <w:tcW w:w="1454" w:type="dxa"/>
            <w:tcBorders>
              <w:top w:val="nil"/>
              <w:left w:val="nil"/>
              <w:bottom w:val="single" w:sz="12" w:space="0" w:color="000000"/>
              <w:right w:val="nil"/>
            </w:tcBorders>
            <w:noWrap/>
            <w:vAlign w:val="center"/>
          </w:tcPr>
          <w:p w14:paraId="555ECE8B"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0.89</w:t>
            </w:r>
          </w:p>
        </w:tc>
        <w:tc>
          <w:tcPr>
            <w:tcW w:w="2838" w:type="dxa"/>
            <w:tcBorders>
              <w:top w:val="nil"/>
              <w:left w:val="nil"/>
              <w:bottom w:val="single" w:sz="12" w:space="0" w:color="000000"/>
              <w:right w:val="nil"/>
            </w:tcBorders>
            <w:noWrap/>
            <w:vAlign w:val="center"/>
          </w:tcPr>
          <w:p w14:paraId="31268E3A" w14:textId="77777777" w:rsidR="008E7A03" w:rsidRDefault="00000000">
            <w:pPr>
              <w:widowControl/>
              <w:jc w:val="center"/>
              <w:textAlignment w:val="center"/>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kern w:val="0"/>
                <w:sz w:val="22"/>
                <w:lang w:bidi="ar"/>
              </w:rPr>
              <w:t>0.89</w:t>
            </w:r>
          </w:p>
        </w:tc>
      </w:tr>
    </w:tbl>
    <w:p w14:paraId="70B3FF9D"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br w:type="page"/>
      </w:r>
    </w:p>
    <w:p w14:paraId="44622046"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lastRenderedPageBreak/>
        <w:t xml:space="preserve">Supplementary Figure 1. </w:t>
      </w:r>
      <w:r>
        <w:rPr>
          <w:rFonts w:ascii="Times New Roman" w:hAnsi="Times New Roman" w:cs="Times New Roman" w:hint="eastAsia"/>
          <w:b/>
          <w:bCs/>
          <w:color w:val="000000" w:themeColor="text1"/>
          <w:sz w:val="18"/>
          <w:szCs w:val="18"/>
        </w:rPr>
        <w:t xml:space="preserve">Binary map of sample distribution. </w:t>
      </w:r>
      <w:r>
        <w:rPr>
          <w:rFonts w:ascii="Times New Roman" w:hAnsi="Times New Roman" w:cs="Times New Roman" w:hint="eastAsia"/>
          <w:color w:val="000000" w:themeColor="text1"/>
          <w:sz w:val="18"/>
          <w:szCs w:val="18"/>
        </w:rPr>
        <w:t>Circles in the same row represent the same infant, circles in different colors represent different ages of the infant, and blank circles represent the absence of sample data.</w:t>
      </w:r>
    </w:p>
    <w:p w14:paraId="037CE930" w14:textId="77777777" w:rsidR="008E7A03" w:rsidRDefault="00000000">
      <w:pPr>
        <w:rPr>
          <w:rFonts w:ascii="Times New Roman" w:hAnsi="Times New Roman" w:cs="Times New Roman"/>
          <w:color w:val="000000" w:themeColor="text1"/>
          <w:sz w:val="18"/>
          <w:szCs w:val="18"/>
        </w:rPr>
      </w:pPr>
      <w:r>
        <w:rPr>
          <w:noProof/>
          <w:color w:val="000000" w:themeColor="text1"/>
          <w:lang w:eastAsia="en-US"/>
        </w:rPr>
        <w:drawing>
          <wp:inline distT="0" distB="0" distL="114300" distR="114300" wp14:anchorId="5E16CC26" wp14:editId="2BA2C145">
            <wp:extent cx="5273040" cy="5730875"/>
            <wp:effectExtent l="0" t="0" r="3810" b="317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6"/>
                    <a:stretch>
                      <a:fillRect/>
                    </a:stretch>
                  </pic:blipFill>
                  <pic:spPr>
                    <a:xfrm>
                      <a:off x="0" y="0"/>
                      <a:ext cx="5273040" cy="5730875"/>
                    </a:xfrm>
                    <a:prstGeom prst="rect">
                      <a:avLst/>
                    </a:prstGeom>
                    <a:noFill/>
                    <a:ln>
                      <a:noFill/>
                    </a:ln>
                  </pic:spPr>
                </pic:pic>
              </a:graphicData>
            </a:graphic>
          </wp:inline>
        </w:drawing>
      </w:r>
    </w:p>
    <w:p w14:paraId="6A0A7C0D" w14:textId="77777777" w:rsidR="008E7A03" w:rsidRDefault="008E7A03">
      <w:pPr>
        <w:rPr>
          <w:rFonts w:ascii="Times New Roman" w:hAnsi="Times New Roman" w:cs="Times New Roman"/>
          <w:color w:val="000000" w:themeColor="text1"/>
          <w:sz w:val="18"/>
          <w:szCs w:val="18"/>
        </w:rPr>
      </w:pPr>
    </w:p>
    <w:p w14:paraId="2F45DF9B"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br w:type="page"/>
      </w:r>
    </w:p>
    <w:p w14:paraId="26A011D4"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lastRenderedPageBreak/>
        <w:t xml:space="preserve">Supplementary Figure </w:t>
      </w:r>
      <w:r>
        <w:rPr>
          <w:rFonts w:ascii="Times New Roman" w:hAnsi="Times New Roman" w:cs="Times New Roman" w:hint="eastAsia"/>
          <w:b/>
          <w:bCs/>
          <w:color w:val="000000" w:themeColor="text1"/>
          <w:sz w:val="18"/>
          <w:szCs w:val="18"/>
        </w:rPr>
        <w:t>2</w:t>
      </w:r>
      <w:r>
        <w:rPr>
          <w:rFonts w:ascii="Times New Roman" w:hAnsi="Times New Roman" w:cs="Times New Roman"/>
          <w:b/>
          <w:bCs/>
          <w:color w:val="000000" w:themeColor="text1"/>
          <w:sz w:val="18"/>
          <w:szCs w:val="18"/>
        </w:rPr>
        <w:t xml:space="preserve">. </w:t>
      </w:r>
      <w:r>
        <w:rPr>
          <w:rFonts w:ascii="Times New Roman" w:hAnsi="Times New Roman" w:cs="Times New Roman" w:hint="eastAsia"/>
          <w:b/>
          <w:bCs/>
          <w:color w:val="000000" w:themeColor="text1"/>
          <w:sz w:val="18"/>
          <w:szCs w:val="18"/>
        </w:rPr>
        <w:t>Data Processing Flowchart</w:t>
      </w:r>
      <w:r>
        <w:rPr>
          <w:rFonts w:ascii="Times New Roman" w:hAnsi="Times New Roman" w:cs="Times New Roman"/>
          <w:b/>
          <w:bCs/>
          <w:color w:val="000000" w:themeColor="text1"/>
          <w:sz w:val="18"/>
          <w:szCs w:val="18"/>
        </w:rPr>
        <w:t>.</w:t>
      </w:r>
      <w:r>
        <w:rPr>
          <w:rFonts w:ascii="Times New Roman" w:hAnsi="Times New Roman" w:cs="Times New Roman" w:hint="eastAsia"/>
          <w:b/>
          <w:bCs/>
          <w:color w:val="000000" w:themeColor="text1"/>
          <w:sz w:val="18"/>
          <w:szCs w:val="18"/>
        </w:rPr>
        <w:t xml:space="preserve"> </w:t>
      </w:r>
      <w:r>
        <w:rPr>
          <w:rFonts w:ascii="Times New Roman" w:hAnsi="Times New Roman" w:cs="Times New Roman" w:hint="eastAsia"/>
          <w:color w:val="000000" w:themeColor="text1"/>
          <w:sz w:val="18"/>
          <w:szCs w:val="18"/>
        </w:rPr>
        <w:t>This figure illustrates the processing workflow of neonatal gut microbiome data: raw sequencing data yield high-quality clean reads following quality control and filtering, and a series of analytical steps are then performed in sequence, including taxonomic annotation, screening of dominant taxa, temporal analysis of dominant species, and functional pathway prediction.</w:t>
      </w:r>
    </w:p>
    <w:p w14:paraId="65D8C7A8" w14:textId="77777777" w:rsidR="008E7A03" w:rsidRDefault="00000000">
      <w:pPr>
        <w:rPr>
          <w:rFonts w:ascii="Times New Roman" w:hAnsi="Times New Roman" w:cs="Times New Roman"/>
          <w:b/>
          <w:bCs/>
          <w:color w:val="000000" w:themeColor="text1"/>
          <w:sz w:val="18"/>
          <w:szCs w:val="18"/>
        </w:rPr>
      </w:pPr>
      <w:r>
        <w:rPr>
          <w:noProof/>
          <w:color w:val="000000" w:themeColor="text1"/>
          <w:lang w:eastAsia="en-US"/>
        </w:rPr>
        <w:drawing>
          <wp:inline distT="0" distB="0" distL="114300" distR="114300" wp14:anchorId="1DDD4A63" wp14:editId="4D7B7508">
            <wp:extent cx="5259070" cy="4631055"/>
            <wp:effectExtent l="0" t="0" r="8255" b="762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7"/>
                    <a:stretch>
                      <a:fillRect/>
                    </a:stretch>
                  </pic:blipFill>
                  <pic:spPr>
                    <a:xfrm>
                      <a:off x="0" y="0"/>
                      <a:ext cx="5259070" cy="4631055"/>
                    </a:xfrm>
                    <a:prstGeom prst="rect">
                      <a:avLst/>
                    </a:prstGeom>
                    <a:noFill/>
                    <a:ln>
                      <a:noFill/>
                    </a:ln>
                  </pic:spPr>
                </pic:pic>
              </a:graphicData>
            </a:graphic>
          </wp:inline>
        </w:drawing>
      </w:r>
    </w:p>
    <w:p w14:paraId="48706979" w14:textId="77777777" w:rsidR="008E7A03" w:rsidRDefault="008E7A03">
      <w:pPr>
        <w:rPr>
          <w:rFonts w:ascii="Times New Roman" w:hAnsi="Times New Roman" w:cs="Times New Roman"/>
          <w:b/>
          <w:bCs/>
          <w:color w:val="000000" w:themeColor="text1"/>
          <w:sz w:val="18"/>
          <w:szCs w:val="18"/>
        </w:rPr>
      </w:pPr>
    </w:p>
    <w:p w14:paraId="1B8B20F3"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br w:type="page"/>
      </w:r>
    </w:p>
    <w:p w14:paraId="437BC386"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lastRenderedPageBreak/>
        <w:t xml:space="preserve">Supplementary Figure 3. Core and unique infant </w:t>
      </w:r>
      <w:r>
        <w:rPr>
          <w:rFonts w:ascii="Times New Roman" w:hAnsi="Times New Roman" w:cs="Times New Roman" w:hint="eastAsia"/>
          <w:b/>
          <w:bCs/>
          <w:color w:val="000000" w:themeColor="text1"/>
          <w:sz w:val="18"/>
          <w:szCs w:val="18"/>
        </w:rPr>
        <w:t xml:space="preserve">gut microbiota across postnatal time points. </w:t>
      </w:r>
      <w:proofErr w:type="spellStart"/>
      <w:r>
        <w:rPr>
          <w:rFonts w:ascii="Times New Roman" w:hAnsi="Times New Roman" w:cs="Times New Roman" w:hint="eastAsia"/>
          <w:b/>
          <w:bCs/>
          <w:color w:val="000000" w:themeColor="text1"/>
          <w:sz w:val="18"/>
          <w:szCs w:val="18"/>
        </w:rPr>
        <w:t>UpSet</w:t>
      </w:r>
      <w:proofErr w:type="spellEnd"/>
      <w:r>
        <w:rPr>
          <w:rFonts w:ascii="Times New Roman" w:hAnsi="Times New Roman" w:cs="Times New Roman" w:hint="eastAsia"/>
          <w:b/>
          <w:bCs/>
          <w:color w:val="000000" w:themeColor="text1"/>
          <w:sz w:val="18"/>
          <w:szCs w:val="18"/>
        </w:rPr>
        <w:t xml:space="preserve"> plot </w:t>
      </w:r>
      <w:r>
        <w:rPr>
          <w:rFonts w:ascii="Times New Roman" w:hAnsi="Times New Roman" w:cs="Times New Roman" w:hint="eastAsia"/>
          <w:color w:val="000000" w:themeColor="text1"/>
          <w:sz w:val="18"/>
          <w:szCs w:val="18"/>
        </w:rPr>
        <w:t>illustrating the overlap of bacterial species across six postnatal time points (7, 30, 60, 100, 200, and 360 days). The intersection of all six points represents the 67 core bacterial species shared across all sampling time points, and each individual point denotes the number of bacterial taxa unique to the corresponding postnatal time point.</w:t>
      </w:r>
    </w:p>
    <w:p w14:paraId="7E08BCD3"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hint="eastAsia"/>
          <w:noProof/>
          <w:color w:val="000000" w:themeColor="text1"/>
          <w:sz w:val="18"/>
          <w:szCs w:val="18"/>
          <w:lang w:eastAsia="en-US"/>
        </w:rPr>
        <w:drawing>
          <wp:inline distT="0" distB="0" distL="114300" distR="114300" wp14:anchorId="14458F2C" wp14:editId="4B92479A">
            <wp:extent cx="5472430" cy="4238625"/>
            <wp:effectExtent l="0" t="0" r="4445" b="0"/>
            <wp:docPr id="23" name="图片 23" descr="物种交集UpSet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物种交集UpSet图(1)"/>
                    <pic:cNvPicPr>
                      <a:picLocks noChangeAspect="1"/>
                    </pic:cNvPicPr>
                  </pic:nvPicPr>
                  <pic:blipFill>
                    <a:blip r:embed="rId8"/>
                    <a:stretch>
                      <a:fillRect/>
                    </a:stretch>
                  </pic:blipFill>
                  <pic:spPr>
                    <a:xfrm>
                      <a:off x="0" y="0"/>
                      <a:ext cx="5472430" cy="4238625"/>
                    </a:xfrm>
                    <a:prstGeom prst="rect">
                      <a:avLst/>
                    </a:prstGeom>
                  </pic:spPr>
                </pic:pic>
              </a:graphicData>
            </a:graphic>
          </wp:inline>
        </w:drawing>
      </w:r>
    </w:p>
    <w:p w14:paraId="3040DFFE"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hint="eastAsia"/>
          <w:b/>
          <w:bCs/>
          <w:color w:val="000000" w:themeColor="text1"/>
          <w:sz w:val="18"/>
          <w:szCs w:val="18"/>
        </w:rPr>
        <w:br w:type="page"/>
      </w:r>
    </w:p>
    <w:p w14:paraId="43DDD822"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hint="eastAsia"/>
          <w:b/>
          <w:bCs/>
          <w:color w:val="000000" w:themeColor="text1"/>
          <w:sz w:val="18"/>
          <w:szCs w:val="18"/>
        </w:rPr>
        <w:lastRenderedPageBreak/>
        <w:t>Supplementary Figure 4. Single factors associated with variation in gut microbiota composition.</w:t>
      </w:r>
      <w:r>
        <w:rPr>
          <w:rFonts w:ascii="Times New Roman" w:hAnsi="Times New Roman" w:cs="Times New Roman" w:hint="eastAsia"/>
          <w:color w:val="000000" w:themeColor="text1"/>
          <w:sz w:val="18"/>
          <w:szCs w:val="18"/>
        </w:rPr>
        <w:t xml:space="preserve"> Alpha diversity (Shannon index) stratified by </w:t>
      </w:r>
      <w:r>
        <w:rPr>
          <w:rFonts w:ascii="Times New Roman" w:hAnsi="Times New Roman" w:cs="Times New Roman"/>
          <w:color w:val="000000" w:themeColor="text1"/>
          <w:sz w:val="18"/>
          <w:szCs w:val="18"/>
        </w:rPr>
        <w:t>individual, ethnicity, delivery mode, and postnatal age (days)</w:t>
      </w:r>
      <w:r>
        <w:rPr>
          <w:rFonts w:ascii="Times New Roman" w:hAnsi="Times New Roman" w:cs="Times New Roman" w:hint="eastAsia"/>
          <w:color w:val="000000" w:themeColor="text1"/>
          <w:sz w:val="18"/>
          <w:szCs w:val="18"/>
        </w:rPr>
        <w:t xml:space="preserve">, age at weaning, gender, maternal age, parity and pets. For each boxplots depict the distribution of values: the horizontal line indicates the median; the box spans the interquartile range (25th-75th percentiles); whiskers extend to the most extreme data points within 1.5 </w:t>
      </w:r>
      <w:r>
        <w:rPr>
          <w:rFonts w:ascii="Times New Roman" w:hAnsi="Times New Roman" w:cs="Times New Roman" w:hint="eastAsia"/>
          <w:color w:val="000000" w:themeColor="text1"/>
          <w:sz w:val="18"/>
          <w:szCs w:val="18"/>
        </w:rPr>
        <w:t>×</w:t>
      </w:r>
      <w:r>
        <w:rPr>
          <w:rFonts w:ascii="Times New Roman" w:hAnsi="Times New Roman" w:cs="Times New Roman" w:hint="eastAsia"/>
          <w:color w:val="000000" w:themeColor="text1"/>
          <w:sz w:val="18"/>
          <w:szCs w:val="18"/>
        </w:rPr>
        <w:t xml:space="preserve"> IQR from the hinges; individual data points are shown as dots. For comparisons among multiple groups in this study, we used one-way analysis of variance (one-way ANOVA); for comparisons involving two independent samples, we used the t-test. </w:t>
      </w:r>
      <w:r>
        <w:rPr>
          <w:rFonts w:ascii="Times New Roman" w:hAnsi="Times New Roman" w:cs="Times New Roman"/>
          <w:i/>
          <w:iCs/>
          <w:color w:val="000000" w:themeColor="text1"/>
          <w:sz w:val="18"/>
          <w:szCs w:val="18"/>
        </w:rPr>
        <w:t>P</w:t>
      </w:r>
      <w:r>
        <w:rPr>
          <w:rFonts w:ascii="Times New Roman" w:hAnsi="Times New Roman" w:cs="Times New Roman"/>
          <w:color w:val="000000" w:themeColor="text1"/>
          <w:sz w:val="18"/>
          <w:szCs w:val="18"/>
        </w:rPr>
        <w:t xml:space="preserve"> ≤ 0.05: statistically significant difference.</w:t>
      </w:r>
      <w:r>
        <w:rPr>
          <w:rFonts w:ascii="Times New Roman" w:hAnsi="Times New Roman" w:cs="Times New Roman" w:hint="eastAsia"/>
          <w:color w:val="000000" w:themeColor="text1"/>
          <w:sz w:val="18"/>
          <w:szCs w:val="18"/>
        </w:rPr>
        <w:t xml:space="preserve"> </w:t>
      </w:r>
    </w:p>
    <w:p w14:paraId="30B9676B"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hint="eastAsia"/>
          <w:noProof/>
          <w:color w:val="000000" w:themeColor="text1"/>
          <w:sz w:val="18"/>
          <w:szCs w:val="18"/>
          <w:lang w:eastAsia="en-US"/>
        </w:rPr>
        <w:drawing>
          <wp:inline distT="0" distB="0" distL="114300" distR="114300" wp14:anchorId="45D1B6C3" wp14:editId="195D2C30">
            <wp:extent cx="5374005" cy="4957445"/>
            <wp:effectExtent l="0" t="0" r="7620" b="5080"/>
            <wp:docPr id="25" name="图片 25" descr="Alpha_Shannon_9Factors_Stats_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Alpha_Shannon_9Factors_Stats_Analysis"/>
                    <pic:cNvPicPr>
                      <a:picLocks noChangeAspect="1"/>
                    </pic:cNvPicPr>
                  </pic:nvPicPr>
                  <pic:blipFill>
                    <a:blip r:embed="rId9"/>
                    <a:stretch>
                      <a:fillRect/>
                    </a:stretch>
                  </pic:blipFill>
                  <pic:spPr>
                    <a:xfrm>
                      <a:off x="0" y="0"/>
                      <a:ext cx="5374005" cy="4957445"/>
                    </a:xfrm>
                    <a:prstGeom prst="rect">
                      <a:avLst/>
                    </a:prstGeom>
                  </pic:spPr>
                </pic:pic>
              </a:graphicData>
            </a:graphic>
          </wp:inline>
        </w:drawing>
      </w:r>
    </w:p>
    <w:p w14:paraId="53C15042"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hint="eastAsia"/>
          <w:b/>
          <w:bCs/>
          <w:color w:val="000000" w:themeColor="text1"/>
          <w:sz w:val="18"/>
          <w:szCs w:val="18"/>
        </w:rPr>
        <w:br w:type="page"/>
      </w:r>
    </w:p>
    <w:p w14:paraId="3A30CC65"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hint="eastAsia"/>
          <w:b/>
          <w:bCs/>
          <w:color w:val="000000" w:themeColor="text1"/>
          <w:sz w:val="18"/>
          <w:szCs w:val="18"/>
        </w:rPr>
        <w:lastRenderedPageBreak/>
        <w:t xml:space="preserve">Supplementary Figure 5. Temporal trend plot for 6 clustering groups. </w:t>
      </w:r>
      <w:r>
        <w:rPr>
          <w:rFonts w:ascii="Times New Roman" w:hAnsi="Times New Roman" w:cs="Times New Roman" w:hint="eastAsia"/>
          <w:color w:val="000000" w:themeColor="text1"/>
          <w:sz w:val="18"/>
          <w:szCs w:val="18"/>
        </w:rPr>
        <w:t xml:space="preserve">(A) Determination of the optimal number of clusters (K) via the elbow method. The elbow method to identify the optimal K for neonatal gut microbiome clustering analysis. The K at the inflection point (curve trend shifts from steep to gentle decline) is the optimal value (K=6). (B) Temporal trend comparison plot for 6 clustering groups. The horizontal axis as postnatal time points and the vertical axis as </w:t>
      </w:r>
      <w:proofErr w:type="spellStart"/>
      <w:r>
        <w:rPr>
          <w:rFonts w:ascii="Times New Roman" w:hAnsi="Times New Roman" w:cs="Times New Roman" w:hint="eastAsia"/>
          <w:color w:val="000000" w:themeColor="text1"/>
          <w:sz w:val="18"/>
          <w:szCs w:val="18"/>
        </w:rPr>
        <w:t>Z_</w:t>
      </w:r>
      <w:proofErr w:type="gramStart"/>
      <w:r>
        <w:rPr>
          <w:rFonts w:ascii="Times New Roman" w:hAnsi="Times New Roman" w:cs="Times New Roman" w:hint="eastAsia"/>
          <w:color w:val="000000" w:themeColor="text1"/>
          <w:sz w:val="18"/>
          <w:szCs w:val="18"/>
        </w:rPr>
        <w:t>ScoreExpression</w:t>
      </w:r>
      <w:proofErr w:type="spellEnd"/>
      <w:r>
        <w:rPr>
          <w:rFonts w:ascii="Times New Roman" w:hAnsi="Times New Roman" w:cs="Times New Roman" w:hint="eastAsia"/>
          <w:color w:val="000000" w:themeColor="text1"/>
          <w:sz w:val="18"/>
          <w:szCs w:val="18"/>
        </w:rPr>
        <w:t xml:space="preserve"> .</w:t>
      </w:r>
      <w:proofErr w:type="gramEnd"/>
      <w:r>
        <w:rPr>
          <w:rFonts w:ascii="Times New Roman" w:hAnsi="Times New Roman" w:cs="Times New Roman" w:hint="eastAsia"/>
          <w:color w:val="000000" w:themeColor="text1"/>
          <w:sz w:val="18"/>
          <w:szCs w:val="18"/>
        </w:rPr>
        <w:t xml:space="preserve"> Different colors/line types represent different clustering groups.</w:t>
      </w:r>
    </w:p>
    <w:p w14:paraId="7D1DFF0D" w14:textId="77777777" w:rsidR="008E7A03" w:rsidRDefault="00000000">
      <w:pPr>
        <w:jc w:val="center"/>
        <w:rPr>
          <w:rFonts w:ascii="Times New Roman" w:hAnsi="Times New Roman" w:cs="Times New Roman"/>
          <w:color w:val="000000" w:themeColor="text1"/>
          <w:sz w:val="18"/>
          <w:szCs w:val="18"/>
        </w:rPr>
      </w:pPr>
      <w:r>
        <w:rPr>
          <w:rFonts w:ascii="Times New Roman" w:hAnsi="Times New Roman" w:cs="Times New Roman" w:hint="eastAsia"/>
          <w:noProof/>
          <w:color w:val="000000" w:themeColor="text1"/>
          <w:sz w:val="18"/>
          <w:szCs w:val="18"/>
          <w:lang w:eastAsia="en-US"/>
        </w:rPr>
        <w:drawing>
          <wp:inline distT="0" distB="0" distL="114300" distR="114300" wp14:anchorId="2674DCA5" wp14:editId="6C416A0D">
            <wp:extent cx="5274310" cy="3651885"/>
            <wp:effectExtent l="0" t="0" r="2540" b="5715"/>
            <wp:docPr id="26" name="图片 26" descr="elbow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lbow_plot"/>
                    <pic:cNvPicPr>
                      <a:picLocks noChangeAspect="1"/>
                    </pic:cNvPicPr>
                  </pic:nvPicPr>
                  <pic:blipFill>
                    <a:blip r:embed="rId10"/>
                    <a:stretch>
                      <a:fillRect/>
                    </a:stretch>
                  </pic:blipFill>
                  <pic:spPr>
                    <a:xfrm>
                      <a:off x="0" y="0"/>
                      <a:ext cx="5274310" cy="3651885"/>
                    </a:xfrm>
                    <a:prstGeom prst="rect">
                      <a:avLst/>
                    </a:prstGeom>
                  </pic:spPr>
                </pic:pic>
              </a:graphicData>
            </a:graphic>
          </wp:inline>
        </w:drawing>
      </w:r>
      <w:r>
        <w:rPr>
          <w:rFonts w:ascii="Times New Roman" w:hAnsi="Times New Roman" w:cs="Times New Roman" w:hint="eastAsia"/>
          <w:color w:val="000000" w:themeColor="text1"/>
          <w:sz w:val="18"/>
          <w:szCs w:val="18"/>
        </w:rPr>
        <w:t>(A)</w:t>
      </w:r>
      <w:r>
        <w:rPr>
          <w:rFonts w:ascii="Times New Roman" w:hAnsi="Times New Roman" w:cs="Times New Roman" w:hint="eastAsia"/>
          <w:noProof/>
          <w:color w:val="000000" w:themeColor="text1"/>
          <w:sz w:val="18"/>
          <w:szCs w:val="18"/>
          <w:lang w:eastAsia="en-US"/>
        </w:rPr>
        <w:drawing>
          <wp:inline distT="0" distB="0" distL="114300" distR="114300" wp14:anchorId="248E52D6" wp14:editId="030C949E">
            <wp:extent cx="5649595" cy="3409315"/>
            <wp:effectExtent l="0" t="0" r="8255" b="635"/>
            <wp:docPr id="28" name="图片 28" descr="cluster_temporal_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luster_temporal_trend"/>
                    <pic:cNvPicPr>
                      <a:picLocks noChangeAspect="1"/>
                    </pic:cNvPicPr>
                  </pic:nvPicPr>
                  <pic:blipFill>
                    <a:blip r:embed="rId11"/>
                    <a:stretch>
                      <a:fillRect/>
                    </a:stretch>
                  </pic:blipFill>
                  <pic:spPr>
                    <a:xfrm>
                      <a:off x="0" y="0"/>
                      <a:ext cx="5649595" cy="3409315"/>
                    </a:xfrm>
                    <a:prstGeom prst="rect">
                      <a:avLst/>
                    </a:prstGeom>
                  </pic:spPr>
                </pic:pic>
              </a:graphicData>
            </a:graphic>
          </wp:inline>
        </w:drawing>
      </w:r>
      <w:r>
        <w:rPr>
          <w:rFonts w:ascii="Times New Roman" w:hAnsi="Times New Roman" w:cs="Times New Roman" w:hint="eastAsia"/>
          <w:color w:val="000000" w:themeColor="text1"/>
          <w:sz w:val="18"/>
          <w:szCs w:val="18"/>
        </w:rPr>
        <w:t>(B)</w:t>
      </w:r>
    </w:p>
    <w:p w14:paraId="02CE970E"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lastRenderedPageBreak/>
        <w:t xml:space="preserve">Supplementary Figure </w:t>
      </w:r>
      <w:r>
        <w:rPr>
          <w:rFonts w:ascii="Times New Roman" w:hAnsi="Times New Roman" w:cs="Times New Roman" w:hint="eastAsia"/>
          <w:b/>
          <w:bCs/>
          <w:color w:val="000000" w:themeColor="text1"/>
          <w:sz w:val="18"/>
          <w:szCs w:val="18"/>
        </w:rPr>
        <w:t>6</w:t>
      </w:r>
      <w:r>
        <w:rPr>
          <w:rFonts w:ascii="Times New Roman" w:hAnsi="Times New Roman" w:cs="Times New Roman"/>
          <w:b/>
          <w:bCs/>
          <w:color w:val="000000" w:themeColor="text1"/>
          <w:sz w:val="18"/>
          <w:szCs w:val="18"/>
        </w:rPr>
        <w:t xml:space="preserve">. Heatmap of the relative abundances of Level </w:t>
      </w:r>
      <w:r>
        <w:rPr>
          <w:rFonts w:ascii="Times New Roman" w:hAnsi="Times New Roman" w:cs="Times New Roman" w:hint="eastAsia"/>
          <w:b/>
          <w:bCs/>
          <w:color w:val="000000" w:themeColor="text1"/>
          <w:sz w:val="18"/>
          <w:szCs w:val="18"/>
        </w:rPr>
        <w:t>1</w:t>
      </w:r>
      <w:r>
        <w:rPr>
          <w:rFonts w:ascii="Times New Roman" w:hAnsi="Times New Roman" w:cs="Times New Roman"/>
          <w:b/>
          <w:bCs/>
          <w:color w:val="000000" w:themeColor="text1"/>
          <w:sz w:val="18"/>
          <w:szCs w:val="18"/>
        </w:rPr>
        <w:t xml:space="preserve"> (L1) functional categories. </w:t>
      </w:r>
      <w:r>
        <w:rPr>
          <w:rFonts w:ascii="Times New Roman" w:hAnsi="Times New Roman" w:cs="Times New Roman"/>
          <w:color w:val="000000" w:themeColor="text1"/>
          <w:sz w:val="18"/>
          <w:szCs w:val="18"/>
        </w:rPr>
        <w:t xml:space="preserve">Predicted metagenomic functional profiles (based on 16S rRNA gene sequencing) showing the relative abundance of broad functional categories (L1) across infant samples over time. The color scale </w:t>
      </w:r>
      <w:proofErr w:type="gramStart"/>
      <w:r>
        <w:rPr>
          <w:rFonts w:ascii="Times New Roman" w:hAnsi="Times New Roman" w:cs="Times New Roman"/>
          <w:color w:val="000000" w:themeColor="text1"/>
          <w:sz w:val="18"/>
          <w:szCs w:val="18"/>
        </w:rPr>
        <w:t>illustrate</w:t>
      </w:r>
      <w:proofErr w:type="gramEnd"/>
      <w:r>
        <w:rPr>
          <w:rFonts w:ascii="Times New Roman" w:hAnsi="Times New Roman" w:cs="Times New Roman"/>
          <w:color w:val="000000" w:themeColor="text1"/>
          <w:sz w:val="18"/>
          <w:szCs w:val="18"/>
        </w:rPr>
        <w:t xml:space="preserve"> relative abundance, ranging from high (red) to low (blue).</w:t>
      </w:r>
    </w:p>
    <w:p w14:paraId="4A8594FB" w14:textId="77777777" w:rsidR="008E7A03" w:rsidRDefault="00000000">
      <w:pPr>
        <w:rPr>
          <w:rFonts w:ascii="Times New Roman" w:hAnsi="Times New Roman" w:cs="Times New Roman"/>
          <w:color w:val="000000" w:themeColor="text1"/>
          <w:sz w:val="18"/>
          <w:szCs w:val="18"/>
        </w:rPr>
      </w:pPr>
      <w:r>
        <w:rPr>
          <w:noProof/>
          <w:color w:val="000000" w:themeColor="text1"/>
          <w:lang w:eastAsia="en-US"/>
        </w:rPr>
        <w:drawing>
          <wp:inline distT="0" distB="0" distL="114300" distR="114300" wp14:anchorId="14AE1FB5" wp14:editId="77031FF8">
            <wp:extent cx="5530850" cy="5578475"/>
            <wp:effectExtent l="0" t="0" r="3175" b="3175"/>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12"/>
                    <a:stretch>
                      <a:fillRect/>
                    </a:stretch>
                  </pic:blipFill>
                  <pic:spPr>
                    <a:xfrm>
                      <a:off x="0" y="0"/>
                      <a:ext cx="5530850" cy="5578475"/>
                    </a:xfrm>
                    <a:prstGeom prst="rect">
                      <a:avLst/>
                    </a:prstGeom>
                    <a:noFill/>
                    <a:ln>
                      <a:noFill/>
                    </a:ln>
                  </pic:spPr>
                </pic:pic>
              </a:graphicData>
            </a:graphic>
          </wp:inline>
        </w:drawing>
      </w:r>
    </w:p>
    <w:p w14:paraId="01B13110" w14:textId="77777777" w:rsidR="008E7A03" w:rsidRDefault="008E7A03">
      <w:pPr>
        <w:rPr>
          <w:rFonts w:ascii="Times New Roman" w:hAnsi="Times New Roman" w:cs="Times New Roman"/>
          <w:color w:val="000000" w:themeColor="text1"/>
          <w:sz w:val="18"/>
          <w:szCs w:val="18"/>
        </w:rPr>
      </w:pPr>
    </w:p>
    <w:p w14:paraId="05B3EF0F"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br w:type="page"/>
      </w:r>
    </w:p>
    <w:p w14:paraId="62E6C76D"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lastRenderedPageBreak/>
        <w:t xml:space="preserve">Supplementary Figure </w:t>
      </w:r>
      <w:r>
        <w:rPr>
          <w:rFonts w:ascii="Times New Roman" w:hAnsi="Times New Roman" w:cs="Times New Roman" w:hint="eastAsia"/>
          <w:b/>
          <w:bCs/>
          <w:color w:val="000000" w:themeColor="text1"/>
          <w:sz w:val="18"/>
          <w:szCs w:val="18"/>
        </w:rPr>
        <w:t>7</w:t>
      </w:r>
      <w:r>
        <w:rPr>
          <w:rFonts w:ascii="Times New Roman" w:hAnsi="Times New Roman" w:cs="Times New Roman"/>
          <w:b/>
          <w:bCs/>
          <w:color w:val="000000" w:themeColor="text1"/>
          <w:sz w:val="18"/>
          <w:szCs w:val="18"/>
        </w:rPr>
        <w:t xml:space="preserve">. Heatmap of the relative abundances of Level 2 (L2) functional modules. </w:t>
      </w:r>
      <w:r>
        <w:rPr>
          <w:rFonts w:ascii="Times New Roman" w:hAnsi="Times New Roman" w:cs="Times New Roman"/>
          <w:color w:val="000000" w:themeColor="text1"/>
          <w:sz w:val="18"/>
          <w:szCs w:val="18"/>
        </w:rPr>
        <w:t xml:space="preserve">Predicted metagenomic functional profiles (based on 16S rRNA gene sequencing) showing the relative abundance of broad functional </w:t>
      </w:r>
      <w:r>
        <w:rPr>
          <w:rFonts w:ascii="Times New Roman" w:hAnsi="Times New Roman" w:cs="Times New Roman" w:hint="eastAsia"/>
          <w:color w:val="000000" w:themeColor="text1"/>
          <w:sz w:val="18"/>
          <w:szCs w:val="18"/>
        </w:rPr>
        <w:t>modules</w:t>
      </w:r>
      <w:r>
        <w:rPr>
          <w:rFonts w:ascii="Times New Roman" w:hAnsi="Times New Roman" w:cs="Times New Roman"/>
          <w:color w:val="000000" w:themeColor="text1"/>
          <w:sz w:val="18"/>
          <w:szCs w:val="18"/>
        </w:rPr>
        <w:t xml:space="preserve"> (L</w:t>
      </w:r>
      <w:r>
        <w:rPr>
          <w:rFonts w:ascii="Times New Roman" w:hAnsi="Times New Roman" w:cs="Times New Roman" w:hint="eastAsia"/>
          <w:color w:val="000000" w:themeColor="text1"/>
          <w:sz w:val="18"/>
          <w:szCs w:val="18"/>
        </w:rPr>
        <w:t>2</w:t>
      </w:r>
      <w:r>
        <w:rPr>
          <w:rFonts w:ascii="Times New Roman" w:hAnsi="Times New Roman" w:cs="Times New Roman"/>
          <w:color w:val="000000" w:themeColor="text1"/>
          <w:sz w:val="18"/>
          <w:szCs w:val="18"/>
        </w:rPr>
        <w:t xml:space="preserve">) across infant samples over time. The color scale </w:t>
      </w:r>
      <w:proofErr w:type="gramStart"/>
      <w:r>
        <w:rPr>
          <w:rFonts w:ascii="Times New Roman" w:hAnsi="Times New Roman" w:cs="Times New Roman"/>
          <w:color w:val="000000" w:themeColor="text1"/>
          <w:sz w:val="18"/>
          <w:szCs w:val="18"/>
        </w:rPr>
        <w:t>illustrate</w:t>
      </w:r>
      <w:proofErr w:type="gramEnd"/>
      <w:r>
        <w:rPr>
          <w:rFonts w:ascii="Times New Roman" w:hAnsi="Times New Roman" w:cs="Times New Roman"/>
          <w:color w:val="000000" w:themeColor="text1"/>
          <w:sz w:val="18"/>
          <w:szCs w:val="18"/>
        </w:rPr>
        <w:t xml:space="preserve"> relative abundance, ranging from high (red) to low (blue).</w:t>
      </w:r>
    </w:p>
    <w:p w14:paraId="4A7D7B2D" w14:textId="77777777" w:rsidR="008E7A03" w:rsidRDefault="00000000">
      <w:pPr>
        <w:rPr>
          <w:rFonts w:ascii="Times New Roman" w:hAnsi="Times New Roman" w:cs="Times New Roman"/>
          <w:color w:val="000000" w:themeColor="text1"/>
          <w:sz w:val="18"/>
          <w:szCs w:val="18"/>
        </w:rPr>
      </w:pPr>
      <w:r>
        <w:rPr>
          <w:noProof/>
          <w:color w:val="000000" w:themeColor="text1"/>
          <w:lang w:eastAsia="en-US"/>
        </w:rPr>
        <w:drawing>
          <wp:inline distT="0" distB="0" distL="114300" distR="114300" wp14:anchorId="4DEE6D4C" wp14:editId="4EE3CE5B">
            <wp:extent cx="5372100" cy="5304790"/>
            <wp:effectExtent l="0" t="0" r="0" b="635"/>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13"/>
                    <a:stretch>
                      <a:fillRect/>
                    </a:stretch>
                  </pic:blipFill>
                  <pic:spPr>
                    <a:xfrm>
                      <a:off x="0" y="0"/>
                      <a:ext cx="5372100" cy="5304790"/>
                    </a:xfrm>
                    <a:prstGeom prst="rect">
                      <a:avLst/>
                    </a:prstGeom>
                    <a:noFill/>
                    <a:ln>
                      <a:noFill/>
                    </a:ln>
                  </pic:spPr>
                </pic:pic>
              </a:graphicData>
            </a:graphic>
          </wp:inline>
        </w:drawing>
      </w:r>
    </w:p>
    <w:p w14:paraId="4AEB4F0E" w14:textId="77777777" w:rsidR="008E7A03" w:rsidRDefault="008E7A03">
      <w:pPr>
        <w:rPr>
          <w:rFonts w:ascii="Times New Roman" w:hAnsi="Times New Roman" w:cs="Times New Roman"/>
          <w:color w:val="000000" w:themeColor="text1"/>
          <w:sz w:val="18"/>
          <w:szCs w:val="18"/>
        </w:rPr>
      </w:pPr>
    </w:p>
    <w:p w14:paraId="4044A088" w14:textId="77777777" w:rsidR="008E7A03" w:rsidRDefault="00000000">
      <w:pP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br w:type="page"/>
      </w:r>
    </w:p>
    <w:p w14:paraId="23CF5015" w14:textId="77777777" w:rsidR="008E7A03" w:rsidRDefault="00000000">
      <w:pP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lastRenderedPageBreak/>
        <w:t xml:space="preserve">Supplementary Figure </w:t>
      </w:r>
      <w:r>
        <w:rPr>
          <w:rFonts w:ascii="Times New Roman" w:hAnsi="Times New Roman" w:cs="Times New Roman" w:hint="eastAsia"/>
          <w:b/>
          <w:bCs/>
          <w:color w:val="000000" w:themeColor="text1"/>
          <w:sz w:val="18"/>
          <w:szCs w:val="18"/>
        </w:rPr>
        <w:t>8</w:t>
      </w:r>
      <w:r>
        <w:rPr>
          <w:rFonts w:ascii="Times New Roman" w:hAnsi="Times New Roman" w:cs="Times New Roman"/>
          <w:b/>
          <w:bCs/>
          <w:color w:val="000000" w:themeColor="text1"/>
          <w:sz w:val="18"/>
          <w:szCs w:val="18"/>
        </w:rPr>
        <w:t xml:space="preserve">. Heatmap of the relative abundances of Level 3 (L3) metabolic pathways. </w:t>
      </w:r>
      <w:r>
        <w:rPr>
          <w:rFonts w:ascii="Times New Roman" w:hAnsi="Times New Roman" w:cs="Times New Roman"/>
          <w:color w:val="000000" w:themeColor="text1"/>
          <w:sz w:val="18"/>
          <w:szCs w:val="18"/>
        </w:rPr>
        <w:t>Predicted metagenomic functional profiles (based on 16S rRNA gene sequencing) showing the relative abundance of broad metabolic pathways (L</w:t>
      </w:r>
      <w:r>
        <w:rPr>
          <w:rFonts w:ascii="Times New Roman" w:hAnsi="Times New Roman" w:cs="Times New Roman" w:hint="eastAsia"/>
          <w:color w:val="000000" w:themeColor="text1"/>
          <w:sz w:val="18"/>
          <w:szCs w:val="18"/>
        </w:rPr>
        <w:t>3</w:t>
      </w:r>
      <w:r>
        <w:rPr>
          <w:rFonts w:ascii="Times New Roman" w:hAnsi="Times New Roman" w:cs="Times New Roman"/>
          <w:color w:val="000000" w:themeColor="text1"/>
          <w:sz w:val="18"/>
          <w:szCs w:val="18"/>
        </w:rPr>
        <w:t xml:space="preserve">) across infant samples over time. The color scale </w:t>
      </w:r>
      <w:proofErr w:type="gramStart"/>
      <w:r>
        <w:rPr>
          <w:rFonts w:ascii="Times New Roman" w:hAnsi="Times New Roman" w:cs="Times New Roman"/>
          <w:color w:val="000000" w:themeColor="text1"/>
          <w:sz w:val="18"/>
          <w:szCs w:val="18"/>
        </w:rPr>
        <w:t>illustrate</w:t>
      </w:r>
      <w:proofErr w:type="gramEnd"/>
      <w:r>
        <w:rPr>
          <w:rFonts w:ascii="Times New Roman" w:hAnsi="Times New Roman" w:cs="Times New Roman"/>
          <w:color w:val="000000" w:themeColor="text1"/>
          <w:sz w:val="18"/>
          <w:szCs w:val="18"/>
        </w:rPr>
        <w:t xml:space="preserve"> relative abundance, ranging from high (red) to low (blue).</w:t>
      </w:r>
    </w:p>
    <w:p w14:paraId="634004D4" w14:textId="77777777" w:rsidR="008E7A03" w:rsidRDefault="00000000">
      <w:pPr>
        <w:rPr>
          <w:rFonts w:ascii="Times New Roman" w:hAnsi="Times New Roman" w:cs="Times New Roman"/>
          <w:color w:val="000000" w:themeColor="text1"/>
          <w:sz w:val="18"/>
          <w:szCs w:val="18"/>
        </w:rPr>
        <w:sectPr w:rsidR="008E7A03">
          <w:pgSz w:w="11906" w:h="16838"/>
          <w:pgMar w:top="1440" w:right="1800" w:bottom="1440" w:left="1800" w:header="851" w:footer="992" w:gutter="0"/>
          <w:cols w:space="425"/>
          <w:docGrid w:type="lines" w:linePitch="312"/>
        </w:sectPr>
      </w:pPr>
      <w:r>
        <w:rPr>
          <w:noProof/>
          <w:color w:val="000000" w:themeColor="text1"/>
          <w:lang w:eastAsia="en-US"/>
        </w:rPr>
        <w:drawing>
          <wp:inline distT="0" distB="0" distL="114300" distR="114300" wp14:anchorId="1470596B" wp14:editId="352327FA">
            <wp:extent cx="5739765" cy="7754620"/>
            <wp:effectExtent l="0" t="0" r="0" b="0"/>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14"/>
                    <a:stretch>
                      <a:fillRect/>
                    </a:stretch>
                  </pic:blipFill>
                  <pic:spPr>
                    <a:xfrm>
                      <a:off x="0" y="0"/>
                      <a:ext cx="5745191" cy="7761490"/>
                    </a:xfrm>
                    <a:prstGeom prst="rect">
                      <a:avLst/>
                    </a:prstGeom>
                    <a:noFill/>
                    <a:ln>
                      <a:noFill/>
                    </a:ln>
                  </pic:spPr>
                </pic:pic>
              </a:graphicData>
            </a:graphic>
          </wp:inline>
        </w:drawing>
      </w:r>
    </w:p>
    <w:p w14:paraId="2A0612A2" w14:textId="77777777" w:rsidR="008E7A03" w:rsidRDefault="008E7A03">
      <w:pPr>
        <w:jc w:val="left"/>
        <w:rPr>
          <w:color w:val="000000" w:themeColor="text1"/>
        </w:rPr>
      </w:pPr>
    </w:p>
    <w:p w14:paraId="46058D9E" w14:textId="77777777" w:rsidR="008E7A03" w:rsidRDefault="008E7A03"/>
    <w:sectPr w:rsidR="008E7A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43C5" w14:textId="77777777" w:rsidR="00B44161" w:rsidRDefault="00B44161">
      <w:r>
        <w:separator/>
      </w:r>
    </w:p>
  </w:endnote>
  <w:endnote w:type="continuationSeparator" w:id="0">
    <w:p w14:paraId="37F55C03" w14:textId="77777777" w:rsidR="00B44161" w:rsidRDefault="00B44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2465B" w14:textId="77777777" w:rsidR="00B44161" w:rsidRDefault="00B44161">
      <w:r>
        <w:separator/>
      </w:r>
    </w:p>
  </w:footnote>
  <w:footnote w:type="continuationSeparator" w:id="0">
    <w:p w14:paraId="257D8B8B" w14:textId="77777777" w:rsidR="00B44161" w:rsidRDefault="00B441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FE4"/>
    <w:rsid w:val="0002177E"/>
    <w:rsid w:val="0004435D"/>
    <w:rsid w:val="000474E1"/>
    <w:rsid w:val="00087464"/>
    <w:rsid w:val="00092FE4"/>
    <w:rsid w:val="000A0D14"/>
    <w:rsid w:val="000A29A4"/>
    <w:rsid w:val="00103807"/>
    <w:rsid w:val="00147288"/>
    <w:rsid w:val="00147C69"/>
    <w:rsid w:val="00150C42"/>
    <w:rsid w:val="00166F3E"/>
    <w:rsid w:val="001B5E50"/>
    <w:rsid w:val="00236365"/>
    <w:rsid w:val="002D06CB"/>
    <w:rsid w:val="00301384"/>
    <w:rsid w:val="0035373D"/>
    <w:rsid w:val="00416422"/>
    <w:rsid w:val="00431DB0"/>
    <w:rsid w:val="004345A5"/>
    <w:rsid w:val="00453649"/>
    <w:rsid w:val="00454B7F"/>
    <w:rsid w:val="004D3178"/>
    <w:rsid w:val="005078DA"/>
    <w:rsid w:val="005178DA"/>
    <w:rsid w:val="00554DE7"/>
    <w:rsid w:val="005624B5"/>
    <w:rsid w:val="006011A4"/>
    <w:rsid w:val="00625C2B"/>
    <w:rsid w:val="00627C42"/>
    <w:rsid w:val="006C6E15"/>
    <w:rsid w:val="007238DC"/>
    <w:rsid w:val="00795769"/>
    <w:rsid w:val="007B6AFA"/>
    <w:rsid w:val="00880342"/>
    <w:rsid w:val="008D1220"/>
    <w:rsid w:val="008E7A03"/>
    <w:rsid w:val="009021EA"/>
    <w:rsid w:val="009223A7"/>
    <w:rsid w:val="009476C9"/>
    <w:rsid w:val="00986B77"/>
    <w:rsid w:val="0099425F"/>
    <w:rsid w:val="009B30FD"/>
    <w:rsid w:val="00A00243"/>
    <w:rsid w:val="00A54BF8"/>
    <w:rsid w:val="00A94F54"/>
    <w:rsid w:val="00AD40F8"/>
    <w:rsid w:val="00AF20FF"/>
    <w:rsid w:val="00B10BA9"/>
    <w:rsid w:val="00B26AB4"/>
    <w:rsid w:val="00B41513"/>
    <w:rsid w:val="00B44161"/>
    <w:rsid w:val="00BC393C"/>
    <w:rsid w:val="00C35545"/>
    <w:rsid w:val="00CD70FD"/>
    <w:rsid w:val="00D210C5"/>
    <w:rsid w:val="00D53283"/>
    <w:rsid w:val="00D97DA0"/>
    <w:rsid w:val="00DA24C8"/>
    <w:rsid w:val="00DE0A04"/>
    <w:rsid w:val="00E10A4F"/>
    <w:rsid w:val="00E27C1B"/>
    <w:rsid w:val="00E30E16"/>
    <w:rsid w:val="00E53CA9"/>
    <w:rsid w:val="00E9634D"/>
    <w:rsid w:val="00EB70EF"/>
    <w:rsid w:val="00EC0447"/>
    <w:rsid w:val="00EE1724"/>
    <w:rsid w:val="00F1511F"/>
    <w:rsid w:val="00F400EB"/>
    <w:rsid w:val="00F54D29"/>
    <w:rsid w:val="00F74922"/>
    <w:rsid w:val="00FB5806"/>
    <w:rsid w:val="00FD11DF"/>
    <w:rsid w:val="5BD37D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69EBF"/>
  <w15:docId w15:val="{94893A6F-B0BE-48B4-AE99-6D0CA004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11</Pages>
  <Words>818</Words>
  <Characters>4704</Characters>
  <Application>Microsoft Office Word</Application>
  <DocSecurity>0</DocSecurity>
  <Lines>142</Lines>
  <Paragraphs>80</Paragraphs>
  <ScaleCrop>false</ScaleCrop>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Neriza Juslin Mapili</dc:creator>
  <cp:lastModifiedBy>Fei Sun</cp:lastModifiedBy>
  <cp:revision>3</cp:revision>
  <dcterms:created xsi:type="dcterms:W3CDTF">2026-03-06T03:33:00Z</dcterms:created>
  <dcterms:modified xsi:type="dcterms:W3CDTF">2026-03-09T02:28:00Z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eyJoZGlkIjoiOTc3M2Y5NzIzMDFlZjAyY2Q4Njk5ODkyYjFjNzBiNTQiLCJ1c2VySWQiOiIzMjk5Njk0OTQifQ==</vt:lpwstr>
  </property>
  <property fmtid="{D5CDD505-2E9C-101B-9397-08002B2CF9AE}" pid="3" name="KSOProductBuildVer">
    <vt:lpwstr>2052-12.1.0.25225</vt:lpwstr>
  </property>
  <property fmtid="{D5CDD505-2E9C-101B-9397-08002B2CF9AE}" pid="4" name="ICV">
    <vt:lpwstr>8AAACF3446A94A7ABF78DB385FB8F1B6_13</vt:lpwstr>
  </property>
</Properties>
</file>