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5B3" w:rsidRDefault="00E575B3" w:rsidP="00E575B3">
      <w:pPr>
        <w:rPr>
          <w:rFonts w:ascii="Times New Roman" w:hAnsi="Times New Roman"/>
          <w:szCs w:val="21"/>
        </w:rPr>
      </w:pPr>
    </w:p>
    <w:p w:rsidR="00E575B3" w:rsidRPr="000D2D45" w:rsidRDefault="00E575B3" w:rsidP="00E575B3">
      <w:pPr>
        <w:rPr>
          <w:rFonts w:ascii="Times New Roman" w:hAnsi="Times New Roman"/>
          <w:szCs w:val="21"/>
        </w:rPr>
      </w:pPr>
      <w:bookmarkStart w:id="0" w:name="_GoBack"/>
      <w:r>
        <w:rPr>
          <w:noProof/>
          <w:lang w:eastAsia="en-US"/>
        </w:rPr>
        <w:drawing>
          <wp:inline distT="0" distB="0" distL="0" distR="0" wp14:anchorId="47C4BC28" wp14:editId="61732D96">
            <wp:extent cx="4665980" cy="5882640"/>
            <wp:effectExtent l="0" t="0" r="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6" b="27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980" cy="588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0722F6">
        <w:rPr>
          <w:rFonts w:ascii="Times New Roman" w:hAnsi="Times New Roman"/>
          <w:szCs w:val="21"/>
        </w:rPr>
        <w:cr/>
      </w:r>
      <w:r w:rsidRPr="000722F6">
        <w:rPr>
          <w:rFonts w:ascii="Times New Roman" w:hAnsi="Times New Roman"/>
          <w:b/>
          <w:bCs/>
          <w:szCs w:val="21"/>
        </w:rPr>
        <w:t xml:space="preserve">Supplementary Fig.1 Transcriptional profiling of the therapeutic response to </w:t>
      </w:r>
      <w:proofErr w:type="spellStart"/>
      <w:r w:rsidRPr="000722F6">
        <w:rPr>
          <w:rFonts w:ascii="Times New Roman" w:hAnsi="Times New Roman"/>
          <w:b/>
          <w:bCs/>
          <w:szCs w:val="21"/>
        </w:rPr>
        <w:t>Tecovirimat</w:t>
      </w:r>
      <w:proofErr w:type="spellEnd"/>
      <w:r w:rsidRPr="000722F6">
        <w:rPr>
          <w:rFonts w:ascii="Times New Roman" w:hAnsi="Times New Roman"/>
          <w:b/>
          <w:bCs/>
          <w:szCs w:val="21"/>
        </w:rPr>
        <w:t xml:space="preserve"> in MPXV infected </w:t>
      </w:r>
      <w:r w:rsidRPr="000722F6">
        <w:rPr>
          <w:rFonts w:ascii="Times New Roman" w:hAnsi="Times New Roman"/>
          <w:b/>
          <w:bCs/>
          <w:i/>
          <w:iCs/>
          <w:szCs w:val="21"/>
        </w:rPr>
        <w:t>STAT1</w:t>
      </w:r>
      <w:r w:rsidRPr="000722F6">
        <w:rPr>
          <w:rFonts w:ascii="Times New Roman" w:hAnsi="Times New Roman"/>
          <w:b/>
          <w:bCs/>
          <w:szCs w:val="21"/>
          <w:vertAlign w:val="superscript"/>
        </w:rPr>
        <w:t xml:space="preserve">-/- </w:t>
      </w:r>
      <w:r w:rsidRPr="000722F6">
        <w:rPr>
          <w:rFonts w:ascii="Times New Roman" w:hAnsi="Times New Roman"/>
          <w:b/>
          <w:bCs/>
          <w:szCs w:val="21"/>
        </w:rPr>
        <w:t>mice.</w:t>
      </w:r>
      <w:r w:rsidRPr="000722F6">
        <w:rPr>
          <w:rFonts w:ascii="Times New Roman" w:hAnsi="Times New Roman"/>
          <w:szCs w:val="21"/>
        </w:rPr>
        <w:cr/>
      </w:r>
      <w:proofErr w:type="gramStart"/>
      <w:r w:rsidRPr="000722F6">
        <w:rPr>
          <w:rFonts w:ascii="Times New Roman" w:hAnsi="Times New Roman"/>
          <w:szCs w:val="21"/>
        </w:rPr>
        <w:t>a</w:t>
      </w:r>
      <w:proofErr w:type="gramEnd"/>
      <w:r w:rsidRPr="000722F6">
        <w:rPr>
          <w:rFonts w:ascii="Times New Roman" w:hAnsi="Times New Roman"/>
          <w:szCs w:val="21"/>
        </w:rPr>
        <w:t xml:space="preserve">: Principal component analysis (PCA) of transcriptomes from Mock (green), DMSO-treated (grey), and </w:t>
      </w:r>
      <w:proofErr w:type="spellStart"/>
      <w:r w:rsidRPr="000722F6">
        <w:rPr>
          <w:rFonts w:ascii="Times New Roman" w:hAnsi="Times New Roman"/>
          <w:szCs w:val="21"/>
        </w:rPr>
        <w:t>Tecovirimat</w:t>
      </w:r>
      <w:proofErr w:type="spellEnd"/>
      <w:r w:rsidRPr="000722F6">
        <w:rPr>
          <w:rFonts w:ascii="Times New Roman" w:hAnsi="Times New Roman"/>
          <w:szCs w:val="21"/>
        </w:rPr>
        <w:t xml:space="preserve">-treated (brown) samples (n=3). The percentage of variance explained by PC1 and PC2 is indicated on the axes. </w:t>
      </w:r>
      <w:proofErr w:type="gramStart"/>
      <w:r w:rsidRPr="000722F6">
        <w:rPr>
          <w:rFonts w:ascii="Times New Roman" w:hAnsi="Times New Roman"/>
          <w:szCs w:val="21"/>
        </w:rPr>
        <w:t>b</w:t>
      </w:r>
      <w:proofErr w:type="gramEnd"/>
      <w:r w:rsidRPr="000722F6">
        <w:rPr>
          <w:rFonts w:ascii="Times New Roman" w:hAnsi="Times New Roman"/>
          <w:szCs w:val="21"/>
        </w:rPr>
        <w:t xml:space="preserve">: Numbers of up-(red) and down-(blue) regulated differentially expressed genes (DEGs) identified in the indicated comparisons. </w:t>
      </w:r>
      <w:proofErr w:type="gramStart"/>
      <w:r w:rsidRPr="000722F6">
        <w:rPr>
          <w:rFonts w:ascii="Times New Roman" w:hAnsi="Times New Roman"/>
          <w:szCs w:val="21"/>
        </w:rPr>
        <w:t>c:</w:t>
      </w:r>
      <w:proofErr w:type="gramEnd"/>
      <w:r w:rsidRPr="000722F6">
        <w:rPr>
          <w:rFonts w:ascii="Times New Roman" w:hAnsi="Times New Roman"/>
          <w:szCs w:val="21"/>
        </w:rPr>
        <w:t xml:space="preserve">Venn diagrams illustrating the overlap of up- (red) and down- (blue) regulated DEGs between </w:t>
      </w:r>
      <w:proofErr w:type="spellStart"/>
      <w:r w:rsidRPr="000722F6">
        <w:rPr>
          <w:rFonts w:ascii="Times New Roman" w:hAnsi="Times New Roman"/>
          <w:szCs w:val="21"/>
        </w:rPr>
        <w:t>Tecovirimat</w:t>
      </w:r>
      <w:proofErr w:type="spellEnd"/>
      <w:r w:rsidRPr="000722F6">
        <w:rPr>
          <w:rFonts w:ascii="Times New Roman" w:hAnsi="Times New Roman"/>
          <w:szCs w:val="21"/>
        </w:rPr>
        <w:t xml:space="preserve"> vs Mock and DMSO vs Mock comparisons. </w:t>
      </w:r>
      <w:proofErr w:type="gramStart"/>
      <w:r w:rsidRPr="000722F6">
        <w:rPr>
          <w:rFonts w:ascii="Times New Roman" w:hAnsi="Times New Roman"/>
          <w:szCs w:val="21"/>
        </w:rPr>
        <w:t>d:</w:t>
      </w:r>
      <w:proofErr w:type="gramEnd"/>
      <w:r w:rsidRPr="000722F6">
        <w:rPr>
          <w:rFonts w:ascii="Times New Roman" w:hAnsi="Times New Roman"/>
          <w:szCs w:val="21"/>
        </w:rPr>
        <w:t xml:space="preserve">Volcano plots displaying transcriptomic changes in </w:t>
      </w:r>
      <w:r w:rsidRPr="005E5933">
        <w:rPr>
          <w:rFonts w:ascii="Times New Roman" w:hAnsi="Times New Roman"/>
          <w:i/>
          <w:iCs/>
          <w:szCs w:val="21"/>
        </w:rPr>
        <w:t>STAT1</w:t>
      </w:r>
      <w:r w:rsidRPr="005E5933">
        <w:rPr>
          <w:rFonts w:ascii="Times New Roman" w:hAnsi="Times New Roman"/>
          <w:szCs w:val="21"/>
          <w:vertAlign w:val="superscript"/>
        </w:rPr>
        <w:t>-/-</w:t>
      </w:r>
      <w:r w:rsidRPr="000722F6">
        <w:rPr>
          <w:rFonts w:ascii="Times New Roman" w:hAnsi="Times New Roman"/>
          <w:szCs w:val="21"/>
        </w:rPr>
        <w:t>mice for the indicated comparisons. Significant genes (|</w:t>
      </w:r>
      <w:proofErr w:type="spellStart"/>
      <w:r w:rsidRPr="000722F6">
        <w:rPr>
          <w:rFonts w:ascii="Times New Roman" w:hAnsi="Times New Roman"/>
          <w:szCs w:val="21"/>
        </w:rPr>
        <w:t>log₂FC</w:t>
      </w:r>
      <w:proofErr w:type="spellEnd"/>
      <w:r w:rsidRPr="000722F6">
        <w:rPr>
          <w:rFonts w:ascii="Times New Roman" w:hAnsi="Times New Roman"/>
          <w:szCs w:val="21"/>
        </w:rPr>
        <w:t xml:space="preserve">| ≥ 1, adjusted </w:t>
      </w:r>
      <w:r w:rsidRPr="000722F6">
        <w:rPr>
          <w:rFonts w:ascii="Times New Roman" w:hAnsi="Times New Roman"/>
          <w:i/>
          <w:iCs/>
          <w:szCs w:val="21"/>
        </w:rPr>
        <w:t>P</w:t>
      </w:r>
      <w:r w:rsidRPr="000722F6">
        <w:rPr>
          <w:rFonts w:ascii="Times New Roman" w:hAnsi="Times New Roman"/>
          <w:szCs w:val="21"/>
        </w:rPr>
        <w:t xml:space="preserve"> &lt; 0.05) are marked with red dots (upregulated) and blue dots (downregulated), while non-significant genes are shown in gray. </w:t>
      </w:r>
      <w:proofErr w:type="gramStart"/>
      <w:r w:rsidRPr="000722F6">
        <w:rPr>
          <w:rFonts w:ascii="Times New Roman" w:hAnsi="Times New Roman"/>
          <w:szCs w:val="21"/>
        </w:rPr>
        <w:t>e</w:t>
      </w:r>
      <w:proofErr w:type="gramEnd"/>
      <w:r w:rsidRPr="000722F6">
        <w:rPr>
          <w:rFonts w:ascii="Times New Roman" w:hAnsi="Times New Roman"/>
          <w:szCs w:val="21"/>
        </w:rPr>
        <w:t>: Dot plot showing the enriched biological process terms for the upregulated and downregulated genes in each group. Dot size: number of associated genes; color intensity: enrichment significance [-</w:t>
      </w:r>
      <w:proofErr w:type="gramStart"/>
      <w:r w:rsidRPr="000722F6">
        <w:rPr>
          <w:rFonts w:ascii="Times New Roman" w:hAnsi="Times New Roman"/>
          <w:szCs w:val="21"/>
        </w:rPr>
        <w:t>log₁₀(</w:t>
      </w:r>
      <w:proofErr w:type="gramEnd"/>
      <w:r w:rsidRPr="000722F6">
        <w:rPr>
          <w:rFonts w:ascii="Times New Roman" w:hAnsi="Times New Roman"/>
          <w:szCs w:val="21"/>
        </w:rPr>
        <w:t xml:space="preserve">adjusted P-value)] (red: upregulated genes; blue: downregulated genes). Analysis tool: </w:t>
      </w:r>
      <w:proofErr w:type="spellStart"/>
      <w:r w:rsidRPr="000722F6">
        <w:rPr>
          <w:rFonts w:ascii="Times New Roman" w:hAnsi="Times New Roman"/>
          <w:szCs w:val="21"/>
        </w:rPr>
        <w:lastRenderedPageBreak/>
        <w:t>Metascape</w:t>
      </w:r>
      <w:proofErr w:type="spellEnd"/>
      <w:r w:rsidRPr="000722F6">
        <w:rPr>
          <w:rFonts w:ascii="Times New Roman" w:hAnsi="Times New Roman"/>
          <w:szCs w:val="21"/>
        </w:rPr>
        <w:t>.</w:t>
      </w:r>
      <w:r w:rsidRPr="000722F6">
        <w:rPr>
          <w:rFonts w:ascii="Times New Roman" w:hAnsi="Times New Roman"/>
          <w:szCs w:val="21"/>
        </w:rPr>
        <w:cr/>
      </w:r>
    </w:p>
    <w:tbl>
      <w:tblPr>
        <w:tblpPr w:leftFromText="180" w:rightFromText="180" w:vertAnchor="text" w:horzAnchor="page" w:tblpX="2127" w:tblpY="-208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8616"/>
      </w:tblGrid>
      <w:tr w:rsidR="00E575B3" w:rsidRPr="00C431D2" w:rsidTr="00AA0581">
        <w:tc>
          <w:tcPr>
            <w:tcW w:w="9464" w:type="dxa"/>
            <w:gridSpan w:val="2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Alveolar Wall Scoring Criteria</w:t>
            </w:r>
          </w:p>
        </w:tc>
      </w:tr>
      <w:tr w:rsidR="00E575B3" w:rsidRPr="00C431D2" w:rsidTr="00AA0581">
        <w:tc>
          <w:tcPr>
            <w:tcW w:w="848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Score 0</w:t>
            </w:r>
          </w:p>
        </w:tc>
        <w:tc>
          <w:tcPr>
            <w:tcW w:w="8616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Normal alveolar wall structure, uniform thickness, no abnormal changes.</w:t>
            </w:r>
          </w:p>
        </w:tc>
      </w:tr>
      <w:tr w:rsidR="00E575B3" w:rsidRPr="00C431D2" w:rsidTr="00AA0581">
        <w:tc>
          <w:tcPr>
            <w:tcW w:w="848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Score 1</w:t>
            </w:r>
          </w:p>
        </w:tc>
        <w:tc>
          <w:tcPr>
            <w:tcW w:w="8616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Mild thickening from cell swelling or fibrosis, involving &lt;20% of visual field.</w:t>
            </w:r>
          </w:p>
        </w:tc>
      </w:tr>
      <w:tr w:rsidR="00E575B3" w:rsidRPr="00C431D2" w:rsidTr="00AA0581">
        <w:tc>
          <w:tcPr>
            <w:tcW w:w="848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Score 2</w:t>
            </w:r>
          </w:p>
        </w:tc>
        <w:tc>
          <w:tcPr>
            <w:tcW w:w="8616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Moderate thickening, marked swelling, fibrosis or inflammation, involving 20%-50% of visual field.</w:t>
            </w:r>
          </w:p>
        </w:tc>
      </w:tr>
      <w:tr w:rsidR="00E575B3" w:rsidRPr="00C431D2" w:rsidTr="00AA0581">
        <w:tc>
          <w:tcPr>
            <w:tcW w:w="848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Score 3</w:t>
            </w:r>
          </w:p>
        </w:tc>
        <w:tc>
          <w:tcPr>
            <w:tcW w:w="8616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Severe thickening, destruction, massive fibrosis, partial rupture, involving &gt;50% of visual field.</w:t>
            </w:r>
          </w:p>
        </w:tc>
      </w:tr>
      <w:tr w:rsidR="00E575B3" w:rsidRPr="00C431D2" w:rsidTr="00AA0581">
        <w:tc>
          <w:tcPr>
            <w:tcW w:w="9464" w:type="dxa"/>
            <w:gridSpan w:val="2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Edema scoring criteria</w:t>
            </w:r>
          </w:p>
        </w:tc>
      </w:tr>
      <w:tr w:rsidR="00E575B3" w:rsidRPr="00C431D2" w:rsidTr="00AA0581">
        <w:tc>
          <w:tcPr>
            <w:tcW w:w="848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Score 0</w:t>
            </w:r>
          </w:p>
        </w:tc>
        <w:tc>
          <w:tcPr>
            <w:tcW w:w="8616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No pulmonary edema; normal alveolar and interstitial structures.</w:t>
            </w:r>
          </w:p>
        </w:tc>
      </w:tr>
      <w:tr w:rsidR="00E575B3" w:rsidRPr="00C431D2" w:rsidTr="00AA0581">
        <w:tc>
          <w:tcPr>
            <w:tcW w:w="848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Score 1</w:t>
            </w:r>
          </w:p>
        </w:tc>
        <w:tc>
          <w:tcPr>
            <w:tcW w:w="8616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Mild edema, slightly widened pale septa, involving &lt;20% of visual field.</w:t>
            </w:r>
          </w:p>
        </w:tc>
      </w:tr>
      <w:tr w:rsidR="00E575B3" w:rsidRPr="00C431D2" w:rsidTr="00AA0581">
        <w:tc>
          <w:tcPr>
            <w:tcW w:w="848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1" w:name="_Hlk228911536"/>
            <w:r w:rsidRPr="00C431D2">
              <w:rPr>
                <w:rFonts w:ascii="Times New Roman" w:hAnsi="Times New Roman"/>
                <w:sz w:val="18"/>
                <w:szCs w:val="18"/>
              </w:rPr>
              <w:t>Score 2</w:t>
            </w:r>
          </w:p>
        </w:tc>
        <w:tc>
          <w:tcPr>
            <w:tcW w:w="8616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Moderate edema, markedly widened septa, fluid accumulation, narrowed alveoli, involving 20%-50% visual field.</w:t>
            </w:r>
          </w:p>
        </w:tc>
      </w:tr>
      <w:tr w:rsidR="00E575B3" w:rsidRPr="00C431D2" w:rsidTr="00AA0581">
        <w:tc>
          <w:tcPr>
            <w:tcW w:w="848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Score 3</w:t>
            </w:r>
          </w:p>
        </w:tc>
        <w:tc>
          <w:tcPr>
            <w:tcW w:w="8616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Severe edema, significantly widened septa, compressed and vanished alveoli, involving &gt;50% visual field.</w:t>
            </w:r>
          </w:p>
        </w:tc>
      </w:tr>
      <w:bookmarkEnd w:id="1"/>
      <w:tr w:rsidR="00E575B3" w:rsidRPr="00C431D2" w:rsidTr="00AA0581">
        <w:tc>
          <w:tcPr>
            <w:tcW w:w="9464" w:type="dxa"/>
            <w:gridSpan w:val="2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Inflammatory cell scoring criteria</w:t>
            </w:r>
          </w:p>
        </w:tc>
      </w:tr>
      <w:tr w:rsidR="00E575B3" w:rsidRPr="00C431D2" w:rsidTr="00AA0581">
        <w:tc>
          <w:tcPr>
            <w:tcW w:w="848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Score 0</w:t>
            </w:r>
          </w:p>
        </w:tc>
        <w:tc>
          <w:tcPr>
            <w:tcW w:w="8616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No inflammatory cell infiltration in the lung tissue.</w:t>
            </w:r>
          </w:p>
        </w:tc>
      </w:tr>
      <w:tr w:rsidR="00E575B3" w:rsidRPr="00C431D2" w:rsidTr="00AA0581">
        <w:tc>
          <w:tcPr>
            <w:tcW w:w="848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Score 1</w:t>
            </w:r>
          </w:p>
        </w:tc>
        <w:tc>
          <w:tcPr>
            <w:tcW w:w="8616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Mild scattered inflammatory infiltration in septa or perivascular areas, involving &lt;20% visual field.</w:t>
            </w:r>
          </w:p>
        </w:tc>
      </w:tr>
      <w:tr w:rsidR="00E575B3" w:rsidRPr="00C431D2" w:rsidTr="00AA0581">
        <w:tc>
          <w:tcPr>
            <w:tcW w:w="848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Score 2</w:t>
            </w:r>
          </w:p>
        </w:tc>
        <w:tc>
          <w:tcPr>
            <w:tcW w:w="8616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Moderate focal inflammatory cell infiltration, involving 20%-50% of the visual field.</w:t>
            </w:r>
          </w:p>
        </w:tc>
      </w:tr>
      <w:tr w:rsidR="00E575B3" w:rsidRPr="00C431D2" w:rsidTr="00AA0581">
        <w:tc>
          <w:tcPr>
            <w:tcW w:w="848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Score 3</w:t>
            </w:r>
          </w:p>
        </w:tc>
        <w:tc>
          <w:tcPr>
            <w:tcW w:w="8616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Massive diffuse inflammatory infiltration destroying normal lung structure, involving &gt;50% visual field.</w:t>
            </w:r>
          </w:p>
        </w:tc>
      </w:tr>
      <w:tr w:rsidR="00E575B3" w:rsidRPr="00C431D2" w:rsidTr="00AA0581">
        <w:tc>
          <w:tcPr>
            <w:tcW w:w="9464" w:type="dxa"/>
            <w:gridSpan w:val="2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Necrotic cell debris scoring criteria</w:t>
            </w:r>
          </w:p>
        </w:tc>
      </w:tr>
      <w:tr w:rsidR="00E575B3" w:rsidRPr="00C431D2" w:rsidTr="00AA0581">
        <w:tc>
          <w:tcPr>
            <w:tcW w:w="848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Score 0</w:t>
            </w:r>
          </w:p>
        </w:tc>
        <w:tc>
          <w:tcPr>
            <w:tcW w:w="8616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Normal cell morphology, no necrotic cell debris in the lung tissue.</w:t>
            </w:r>
          </w:p>
        </w:tc>
      </w:tr>
      <w:tr w:rsidR="00E575B3" w:rsidRPr="00C431D2" w:rsidTr="00AA0581">
        <w:tc>
          <w:tcPr>
            <w:tcW w:w="848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Score 1</w:t>
            </w:r>
          </w:p>
        </w:tc>
        <w:tc>
          <w:tcPr>
            <w:tcW w:w="8616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 xml:space="preserve">Rare scattered necrotic debris in alveoli or </w:t>
            </w:r>
            <w:proofErr w:type="spellStart"/>
            <w:r w:rsidRPr="00C431D2">
              <w:rPr>
                <w:rFonts w:ascii="Times New Roman" w:hAnsi="Times New Roman"/>
                <w:sz w:val="18"/>
                <w:szCs w:val="18"/>
              </w:rPr>
              <w:t>interstitium</w:t>
            </w:r>
            <w:proofErr w:type="spellEnd"/>
            <w:r w:rsidRPr="00C431D2">
              <w:rPr>
                <w:rFonts w:ascii="Times New Roman" w:hAnsi="Times New Roman"/>
                <w:sz w:val="18"/>
                <w:szCs w:val="18"/>
              </w:rPr>
              <w:t>, involving &lt;20% visual field.</w:t>
            </w:r>
          </w:p>
        </w:tc>
      </w:tr>
      <w:tr w:rsidR="00E575B3" w:rsidRPr="00C431D2" w:rsidTr="00AA0581">
        <w:tc>
          <w:tcPr>
            <w:tcW w:w="848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Score 2</w:t>
            </w:r>
          </w:p>
        </w:tc>
        <w:tc>
          <w:tcPr>
            <w:tcW w:w="8616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 xml:space="preserve">Moderate necrotic debris, unclear cell outlines, </w:t>
            </w:r>
            <w:proofErr w:type="spellStart"/>
            <w:r w:rsidRPr="00C431D2">
              <w:rPr>
                <w:rFonts w:ascii="Times New Roman" w:hAnsi="Times New Roman"/>
                <w:sz w:val="18"/>
                <w:szCs w:val="18"/>
              </w:rPr>
              <w:t>karyorrhexis</w:t>
            </w:r>
            <w:proofErr w:type="spellEnd"/>
            <w:r w:rsidRPr="00C431D2">
              <w:rPr>
                <w:rFonts w:ascii="Times New Roman" w:hAnsi="Times New Roman"/>
                <w:sz w:val="18"/>
                <w:szCs w:val="18"/>
              </w:rPr>
              <w:t>, involving 20%-50% visual field.</w:t>
            </w:r>
          </w:p>
        </w:tc>
      </w:tr>
      <w:tr w:rsidR="00E575B3" w:rsidRPr="00C431D2" w:rsidTr="00AA0581">
        <w:tc>
          <w:tcPr>
            <w:tcW w:w="848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Score 3</w:t>
            </w:r>
          </w:p>
        </w:tc>
        <w:tc>
          <w:tcPr>
            <w:tcW w:w="8616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Massive diffuse necrotic debris, severe tissue disintegration, involving &gt;50% visual field.</w:t>
            </w:r>
          </w:p>
        </w:tc>
      </w:tr>
      <w:tr w:rsidR="00E575B3" w:rsidRPr="00C431D2" w:rsidTr="00AA0581">
        <w:tc>
          <w:tcPr>
            <w:tcW w:w="9464" w:type="dxa"/>
            <w:gridSpan w:val="2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Hemorrhage scoring criteria</w:t>
            </w:r>
          </w:p>
        </w:tc>
      </w:tr>
      <w:tr w:rsidR="00E575B3" w:rsidRPr="00C431D2" w:rsidTr="00AA0581">
        <w:tc>
          <w:tcPr>
            <w:tcW w:w="848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Score 0</w:t>
            </w:r>
          </w:p>
        </w:tc>
        <w:tc>
          <w:tcPr>
            <w:tcW w:w="8616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 xml:space="preserve">No hemorrhage; no red blood cell extravasation in alveoli or </w:t>
            </w:r>
            <w:proofErr w:type="spellStart"/>
            <w:r w:rsidRPr="00C431D2">
              <w:rPr>
                <w:rFonts w:ascii="Times New Roman" w:hAnsi="Times New Roman"/>
                <w:sz w:val="18"/>
                <w:szCs w:val="18"/>
              </w:rPr>
              <w:t>interstitium</w:t>
            </w:r>
            <w:proofErr w:type="spellEnd"/>
            <w:r w:rsidRPr="00C431D2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E575B3" w:rsidRPr="00C431D2" w:rsidTr="00AA0581">
        <w:tc>
          <w:tcPr>
            <w:tcW w:w="848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Score 1</w:t>
            </w:r>
          </w:p>
        </w:tc>
        <w:tc>
          <w:tcPr>
            <w:tcW w:w="8616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 xml:space="preserve">Scattered red blood cell extravasation in alveoli or </w:t>
            </w:r>
            <w:proofErr w:type="spellStart"/>
            <w:r w:rsidRPr="00C431D2">
              <w:rPr>
                <w:rFonts w:ascii="Times New Roman" w:hAnsi="Times New Roman"/>
                <w:sz w:val="18"/>
                <w:szCs w:val="18"/>
              </w:rPr>
              <w:t>interstitium</w:t>
            </w:r>
            <w:proofErr w:type="spellEnd"/>
            <w:r w:rsidRPr="00C431D2">
              <w:rPr>
                <w:rFonts w:ascii="Times New Roman" w:hAnsi="Times New Roman"/>
                <w:sz w:val="18"/>
                <w:szCs w:val="18"/>
              </w:rPr>
              <w:t>, involving &lt;20% visual field.</w:t>
            </w:r>
          </w:p>
        </w:tc>
      </w:tr>
      <w:tr w:rsidR="00E575B3" w:rsidRPr="00C431D2" w:rsidTr="00AA0581">
        <w:tc>
          <w:tcPr>
            <w:tcW w:w="848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2" w:name="OLE_LINK80"/>
            <w:r w:rsidRPr="00C431D2">
              <w:rPr>
                <w:rFonts w:ascii="Times New Roman" w:hAnsi="Times New Roman"/>
                <w:sz w:val="18"/>
                <w:szCs w:val="18"/>
              </w:rPr>
              <w:t>Score 2</w:t>
            </w:r>
            <w:bookmarkEnd w:id="2"/>
          </w:p>
        </w:tc>
        <w:tc>
          <w:tcPr>
            <w:tcW w:w="8616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 xml:space="preserve">Moderate patchy hemorrhage in alveoli or </w:t>
            </w:r>
            <w:proofErr w:type="spellStart"/>
            <w:r w:rsidRPr="00C431D2">
              <w:rPr>
                <w:rFonts w:ascii="Times New Roman" w:hAnsi="Times New Roman"/>
                <w:sz w:val="18"/>
                <w:szCs w:val="18"/>
              </w:rPr>
              <w:t>interstitium</w:t>
            </w:r>
            <w:proofErr w:type="spellEnd"/>
            <w:r w:rsidRPr="00C431D2">
              <w:rPr>
                <w:rFonts w:ascii="Times New Roman" w:hAnsi="Times New Roman"/>
                <w:sz w:val="18"/>
                <w:szCs w:val="18"/>
              </w:rPr>
              <w:t>, involving 20%-50% of visual field.</w:t>
            </w:r>
          </w:p>
        </w:tc>
      </w:tr>
      <w:tr w:rsidR="00E575B3" w:rsidRPr="00C431D2" w:rsidTr="00AA0581">
        <w:tc>
          <w:tcPr>
            <w:tcW w:w="848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Score 3</w:t>
            </w:r>
          </w:p>
        </w:tc>
        <w:tc>
          <w:tcPr>
            <w:tcW w:w="8616" w:type="dxa"/>
          </w:tcPr>
          <w:p w:rsidR="00E575B3" w:rsidRPr="00C431D2" w:rsidRDefault="00E575B3" w:rsidP="00AA058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31D2">
              <w:rPr>
                <w:rFonts w:ascii="Times New Roman" w:hAnsi="Times New Roman"/>
                <w:sz w:val="18"/>
                <w:szCs w:val="18"/>
              </w:rPr>
              <w:t>Massive hemorrhagic lung consolidation, extensive hemorrhage, involving &gt;50% visual field.</w:t>
            </w:r>
          </w:p>
        </w:tc>
      </w:tr>
    </w:tbl>
    <w:p w:rsidR="00E575B3" w:rsidRPr="000722F6" w:rsidRDefault="00E575B3" w:rsidP="00E575B3">
      <w:pPr>
        <w:rPr>
          <w:rFonts w:ascii="Times New Roman" w:hAnsi="Times New Roman"/>
          <w:szCs w:val="21"/>
        </w:rPr>
      </w:pPr>
      <w:r w:rsidRPr="003924D0">
        <w:rPr>
          <w:rFonts w:ascii="Times New Roman" w:hAnsi="Times New Roman"/>
          <w:b/>
          <w:bCs/>
          <w:szCs w:val="21"/>
        </w:rPr>
        <w:t>Supplementary Tab.1 Histopathological scoring criteria for lung injury</w:t>
      </w:r>
      <w:r w:rsidRPr="003924D0">
        <w:rPr>
          <w:rFonts w:ascii="Times New Roman" w:hAnsi="Times New Roman"/>
          <w:szCs w:val="21"/>
        </w:rPr>
        <w:cr/>
        <w:t>This table presents a semi-quantitative histopathological scoring system used to evaluate the severity of lung tissue injury. Five parameters-alveolar wall changes, edema, inflammatory cell infiltration, necrotic cell debris, and hemorrhage-are individually graded on a scale of 0 to 3. The scores are assigned based on the severity of the lesions and the percentage of the microscopic visual field involved (0 = normal/none; 1 = mild, &lt;20%; 2 = moderate, 20%-50%; 3 = severe, &gt;50%).</w:t>
      </w:r>
      <w:r w:rsidRPr="003924D0">
        <w:rPr>
          <w:rFonts w:ascii="Times New Roman" w:hAnsi="Times New Roman"/>
          <w:szCs w:val="21"/>
        </w:rPr>
        <w:cr/>
      </w:r>
    </w:p>
    <w:p w:rsidR="003A151B" w:rsidRDefault="003A151B"/>
    <w:sectPr w:rsidR="003A151B" w:rsidSect="00E575B3">
      <w:pgSz w:w="11906" w:h="16838"/>
      <w:pgMar w:top="1417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5B3" w:rsidRDefault="00E575B3" w:rsidP="00E575B3">
      <w:r>
        <w:separator/>
      </w:r>
    </w:p>
  </w:endnote>
  <w:endnote w:type="continuationSeparator" w:id="0">
    <w:p w:rsidR="00E575B3" w:rsidRDefault="00E575B3" w:rsidP="00E57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5B3" w:rsidRDefault="00E575B3" w:rsidP="00E575B3">
      <w:r>
        <w:separator/>
      </w:r>
    </w:p>
  </w:footnote>
  <w:footnote w:type="continuationSeparator" w:id="0">
    <w:p w:rsidR="00E575B3" w:rsidRDefault="00E575B3" w:rsidP="00E575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5B3"/>
    <w:rsid w:val="003A151B"/>
    <w:rsid w:val="006333EC"/>
    <w:rsid w:val="00DD69B8"/>
    <w:rsid w:val="00E5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5B3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575B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E575B3"/>
    <w:rPr>
      <w:rFonts w:ascii="Calibri" w:eastAsia="SimSun" w:hAnsi="Calibri" w:cs="Times New Roman"/>
      <w:kern w:val="2"/>
      <w:sz w:val="18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5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5B3"/>
    <w:rPr>
      <w:rFonts w:ascii="Tahoma" w:eastAsia="SimSun" w:hAnsi="Tahoma" w:cs="Tahoma"/>
      <w:kern w:val="2"/>
      <w:sz w:val="16"/>
      <w:szCs w:val="16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E575B3"/>
  </w:style>
  <w:style w:type="paragraph" w:styleId="Header">
    <w:name w:val="header"/>
    <w:basedOn w:val="Normal"/>
    <w:link w:val="HeaderChar"/>
    <w:uiPriority w:val="99"/>
    <w:unhideWhenUsed/>
    <w:rsid w:val="00E575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75B3"/>
    <w:rPr>
      <w:rFonts w:ascii="Calibri" w:eastAsia="SimSun" w:hAnsi="Calibri" w:cs="Times New Roman"/>
      <w:kern w:val="2"/>
      <w:sz w:val="21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5B3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575B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E575B3"/>
    <w:rPr>
      <w:rFonts w:ascii="Calibri" w:eastAsia="SimSun" w:hAnsi="Calibri" w:cs="Times New Roman"/>
      <w:kern w:val="2"/>
      <w:sz w:val="18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5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5B3"/>
    <w:rPr>
      <w:rFonts w:ascii="Tahoma" w:eastAsia="SimSun" w:hAnsi="Tahoma" w:cs="Tahoma"/>
      <w:kern w:val="2"/>
      <w:sz w:val="16"/>
      <w:szCs w:val="16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E575B3"/>
  </w:style>
  <w:style w:type="paragraph" w:styleId="Header">
    <w:name w:val="header"/>
    <w:basedOn w:val="Normal"/>
    <w:link w:val="HeaderChar"/>
    <w:uiPriority w:val="99"/>
    <w:unhideWhenUsed/>
    <w:rsid w:val="00E575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75B3"/>
    <w:rPr>
      <w:rFonts w:ascii="Calibri" w:eastAsia="SimSun" w:hAnsi="Calibri" w:cs="Times New Roman"/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571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Remel Jay Cabug-os</dc:creator>
  <cp:lastModifiedBy>Remel Jay Cabug-os</cp:lastModifiedBy>
  <cp:revision>1</cp:revision>
  <dcterms:created xsi:type="dcterms:W3CDTF">2026-06-04T03:51:00Z</dcterms:created>
  <dcterms:modified xsi:type="dcterms:W3CDTF">2026-06-04T03:53:00Z</dcterms:modified>
</cp:coreProperties>
</file>