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F476" w14:textId="77777777" w:rsidR="00A87A85" w:rsidRDefault="00A87A85" w:rsidP="00A87A85">
      <w:pPr>
        <w:spacing w:line="480" w:lineRule="auto"/>
        <w:rPr>
          <w:rFonts w:ascii="Times New Roman" w:hAnsi="Times New Roman" w:cs="Times New Roman"/>
          <w:b/>
          <w:bCs/>
          <w:sz w:val="22"/>
          <w:szCs w:val="24"/>
        </w:rPr>
      </w:pPr>
      <w:r w:rsidRPr="0058720E">
        <w:rPr>
          <w:rFonts w:ascii="Times New Roman" w:hAnsi="Times New Roman" w:cs="Times New Roman"/>
          <w:b/>
          <w:bCs/>
          <w:sz w:val="22"/>
          <w:szCs w:val="24"/>
        </w:rPr>
        <w:t>Supplementary material</w:t>
      </w:r>
      <w:r>
        <w:rPr>
          <w:rFonts w:ascii="Times New Roman" w:hAnsi="Times New Roman" w:cs="Times New Roman" w:hint="eastAsia"/>
          <w:b/>
          <w:bCs/>
          <w:sz w:val="22"/>
          <w:szCs w:val="24"/>
        </w:rPr>
        <w:t>s</w:t>
      </w:r>
    </w:p>
    <w:p w14:paraId="7895019F" w14:textId="77777777" w:rsidR="00A87A85" w:rsidRDefault="00A87A85" w:rsidP="00A87A85">
      <w:pPr>
        <w:spacing w:line="480" w:lineRule="auto"/>
        <w:rPr>
          <w:rFonts w:ascii="Times New Roman" w:hAnsi="Times New Roman" w:cs="Times New Roman"/>
          <w:b/>
          <w:bCs/>
          <w:sz w:val="22"/>
          <w:szCs w:val="24"/>
        </w:rPr>
      </w:pPr>
      <w:r>
        <w:rPr>
          <w:noProof/>
        </w:rPr>
        <w:drawing>
          <wp:inline distT="0" distB="0" distL="0" distR="0" wp14:anchorId="5EF9D36E" wp14:editId="3131159A">
            <wp:extent cx="5274310" cy="3952240"/>
            <wp:effectExtent l="0" t="0" r="2540" b="0"/>
            <wp:docPr id="1621870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2240"/>
                    </a:xfrm>
                    <a:prstGeom prst="rect">
                      <a:avLst/>
                    </a:prstGeom>
                    <a:noFill/>
                    <a:ln>
                      <a:noFill/>
                    </a:ln>
                  </pic:spPr>
                </pic:pic>
              </a:graphicData>
            </a:graphic>
          </wp:inline>
        </w:drawing>
      </w:r>
    </w:p>
    <w:p w14:paraId="076C17CB" w14:textId="77777777" w:rsidR="00A87A85" w:rsidRDefault="00A87A85" w:rsidP="00A87A85">
      <w:pPr>
        <w:rPr>
          <w:rFonts w:ascii="Times New Roman" w:hAnsi="Times New Roman" w:cs="Times New Roman"/>
          <w:sz w:val="22"/>
          <w:szCs w:val="24"/>
        </w:rPr>
      </w:pPr>
      <w:r w:rsidRPr="004539F3">
        <w:rPr>
          <w:rFonts w:ascii="Times New Roman" w:hAnsi="Times New Roman" w:cs="Times New Roman"/>
          <w:sz w:val="22"/>
          <w:szCs w:val="24"/>
        </w:rPr>
        <w:t>Figure S1.</w:t>
      </w:r>
      <w:r>
        <w:rPr>
          <w:rFonts w:ascii="Times New Roman" w:hAnsi="Times New Roman" w:cs="Times New Roman" w:hint="eastAsia"/>
          <w:sz w:val="22"/>
          <w:szCs w:val="24"/>
        </w:rPr>
        <w:t xml:space="preserve"> </w:t>
      </w:r>
      <w:r w:rsidRPr="00B14BA5">
        <w:rPr>
          <w:rFonts w:ascii="Times New Roman" w:hAnsi="Times New Roman" w:cs="Times New Roman"/>
          <w:sz w:val="22"/>
          <w:szCs w:val="24"/>
        </w:rPr>
        <w:t xml:space="preserve">Flowchart of isolate selection and deduplication strategies. </w:t>
      </w:r>
    </w:p>
    <w:p w14:paraId="58D987DC" w14:textId="77777777" w:rsidR="00A87A85" w:rsidRDefault="00A87A85" w:rsidP="00A87A85">
      <w:pPr>
        <w:rPr>
          <w:rFonts w:ascii="Times New Roman" w:hAnsi="Times New Roman" w:cs="Times New Roman"/>
          <w:sz w:val="22"/>
          <w:szCs w:val="24"/>
        </w:rPr>
      </w:pPr>
      <w:r w:rsidRPr="00B14BA5">
        <w:rPr>
          <w:rFonts w:ascii="Times New Roman" w:hAnsi="Times New Roman" w:cs="Times New Roman"/>
          <w:sz w:val="22"/>
          <w:szCs w:val="24"/>
        </w:rPr>
        <w:t>Depending on the analysis objective, two predefined deduplication strategies were applied to the initial collection of 3,050 bacterial isolates. For analyses independent of specimen type (including bacterial species distribution, temporal trends, age- and sex-specific distributions, and annual antimicrobial resistance rates), only the first isolate of each bacterial species from each patient within a calendar year was retained, resulting in a patient-level dataset (n = 2,661). For specimen-specific analyses (including specimen-type distribution, ecological niche characterization, and specimen-specific antimicrobial resistance profiling), the first isolate of each bacterial species from each patient within each specimen type per calendar year was retained, resulting in a patient-specimen-level dataset (n = 2,710).</w:t>
      </w:r>
      <w:r>
        <w:rPr>
          <w:rFonts w:ascii="Times New Roman" w:hAnsi="Times New Roman" w:cs="Times New Roman" w:hint="eastAsia"/>
          <w:sz w:val="22"/>
          <w:szCs w:val="24"/>
        </w:rPr>
        <w:t xml:space="preserve"> </w:t>
      </w:r>
      <w:r w:rsidRPr="00D52172">
        <w:rPr>
          <w:rFonts w:ascii="Times New Roman" w:hAnsi="Times New Roman" w:cs="Times New Roman"/>
          <w:sz w:val="22"/>
          <w:szCs w:val="24"/>
        </w:rPr>
        <w:t>Repeated isolates from recurrent infections within the same calendar year were excluded, while those occurring in different years were retained.</w:t>
      </w:r>
    </w:p>
    <w:p w14:paraId="2C3DD6D8" w14:textId="77777777" w:rsidR="00A87A85" w:rsidRPr="002A33B0" w:rsidRDefault="00A87A85" w:rsidP="00A87A85">
      <w:pPr>
        <w:rPr>
          <w:rFonts w:ascii="Times New Roman" w:hAnsi="Times New Roman" w:cs="Times New Roman"/>
          <w:sz w:val="22"/>
          <w:szCs w:val="24"/>
        </w:rPr>
      </w:pPr>
    </w:p>
    <w:p w14:paraId="5B67E0BA" w14:textId="77777777" w:rsidR="00A87A85" w:rsidRPr="008333E6" w:rsidRDefault="00A87A85" w:rsidP="00A87A85">
      <w:pPr>
        <w:spacing w:line="480" w:lineRule="auto"/>
        <w:rPr>
          <w:rFonts w:ascii="Times New Roman" w:hAnsi="Times New Roman" w:cs="Times New Roman"/>
        </w:rPr>
      </w:pPr>
      <w:r>
        <w:rPr>
          <w:noProof/>
        </w:rPr>
        <w:lastRenderedPageBreak/>
        <w:drawing>
          <wp:inline distT="0" distB="0" distL="0" distR="0" wp14:anchorId="43168B56" wp14:editId="41E3DE22">
            <wp:extent cx="5274310" cy="3747135"/>
            <wp:effectExtent l="0" t="0" r="2540" b="5715"/>
            <wp:docPr id="11930474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47135"/>
                    </a:xfrm>
                    <a:prstGeom prst="rect">
                      <a:avLst/>
                    </a:prstGeom>
                    <a:noFill/>
                    <a:ln>
                      <a:noFill/>
                    </a:ln>
                  </pic:spPr>
                </pic:pic>
              </a:graphicData>
            </a:graphic>
          </wp:inline>
        </w:drawing>
      </w:r>
    </w:p>
    <w:p w14:paraId="3B252B9E" w14:textId="77777777" w:rsidR="00A87A85" w:rsidRPr="008333E6" w:rsidRDefault="00A87A85" w:rsidP="00A87A85">
      <w:pPr>
        <w:rPr>
          <w:rFonts w:ascii="Times New Roman" w:hAnsi="Times New Roman" w:cs="Times New Roman"/>
        </w:rPr>
      </w:pPr>
      <w:r w:rsidRPr="004539F3">
        <w:rPr>
          <w:rFonts w:ascii="Times New Roman" w:hAnsi="Times New Roman" w:cs="Times New Roman"/>
        </w:rPr>
        <w:t>Figure S2.</w:t>
      </w:r>
      <w:r w:rsidRPr="008333E6">
        <w:rPr>
          <w:rFonts w:ascii="Times New Roman" w:hAnsi="Times New Roman" w:cs="Times New Roman"/>
        </w:rPr>
        <w:t xml:space="preserve"> </w:t>
      </w:r>
      <w:r w:rsidRPr="00CD7573">
        <w:rPr>
          <w:rFonts w:ascii="Times New Roman" w:hAnsi="Times New Roman" w:cs="Times New Roman"/>
        </w:rPr>
        <w:t xml:space="preserve">Standardized residuals derived from Pearson's chi-square test were used to identify bacterial species contributing to the overall associations across patient sex (A), age groups (B), and specimen types (C). Red indicates overrepresentation, whereas blue indicates underrepresentation relative to the expected counts under the null hypothesis of independence. Cells with standardized residuals greater than </w:t>
      </w:r>
      <w:r>
        <w:rPr>
          <w:rFonts w:ascii="Times New Roman" w:hAnsi="Times New Roman" w:cs="Times New Roman" w:hint="eastAsia"/>
        </w:rPr>
        <w:t>1.96</w:t>
      </w:r>
      <w:r w:rsidRPr="00CD7573">
        <w:rPr>
          <w:rFonts w:ascii="Times New Roman" w:hAnsi="Times New Roman" w:cs="Times New Roman"/>
        </w:rPr>
        <w:t xml:space="preserve"> or less than −</w:t>
      </w:r>
      <w:r>
        <w:rPr>
          <w:rFonts w:ascii="Times New Roman" w:hAnsi="Times New Roman" w:cs="Times New Roman" w:hint="eastAsia"/>
        </w:rPr>
        <w:t>1.96</w:t>
      </w:r>
      <w:r w:rsidRPr="00CD7573">
        <w:rPr>
          <w:rFonts w:ascii="Times New Roman" w:hAnsi="Times New Roman" w:cs="Times New Roman"/>
        </w:rPr>
        <w:t xml:space="preserve"> (|Z| &gt;</w:t>
      </w:r>
      <w:r>
        <w:rPr>
          <w:rFonts w:ascii="Times New Roman" w:hAnsi="Times New Roman" w:cs="Times New Roman" w:hint="eastAsia"/>
        </w:rPr>
        <w:t>1.96</w:t>
      </w:r>
      <w:r w:rsidRPr="00CD7573">
        <w:rPr>
          <w:rFonts w:ascii="Times New Roman" w:hAnsi="Times New Roman" w:cs="Times New Roman"/>
        </w:rPr>
        <w:t>) were considered statistically significant and are marked with an asterisk (*).</w:t>
      </w:r>
    </w:p>
    <w:p w14:paraId="1C072365" w14:textId="77777777" w:rsidR="00A87A85" w:rsidRPr="008333E6" w:rsidRDefault="00A87A85" w:rsidP="00A87A85">
      <w:pPr>
        <w:spacing w:line="480" w:lineRule="auto"/>
        <w:rPr>
          <w:rFonts w:ascii="Times New Roman" w:hAnsi="Times New Roman" w:cs="Times New Roman"/>
        </w:rPr>
      </w:pPr>
    </w:p>
    <w:p w14:paraId="58E588BF" w14:textId="77777777" w:rsidR="00A87A85" w:rsidRPr="00623E87" w:rsidRDefault="00A87A85" w:rsidP="00A87A85">
      <w:pPr>
        <w:rPr>
          <w:rFonts w:ascii="Times New Roman" w:hAnsi="Times New Roman" w:cs="Times New Roman"/>
        </w:rPr>
      </w:pPr>
      <w:r w:rsidRPr="00623E87">
        <w:rPr>
          <w:rFonts w:ascii="Times New Roman" w:hAnsi="Times New Roman" w:cs="Times New Roman"/>
        </w:rPr>
        <w:t>Table S1. Temporal trends in the distribution of major bacterial species isolated between 2014 and 2025.</w:t>
      </w:r>
    </w:p>
    <w:tbl>
      <w:tblPr>
        <w:tblStyle w:val="af2"/>
        <w:tblW w:w="0" w:type="auto"/>
        <w:tblLook w:val="04A0" w:firstRow="1" w:lastRow="0" w:firstColumn="1" w:lastColumn="0" w:noHBand="0" w:noVBand="1"/>
      </w:tblPr>
      <w:tblGrid>
        <w:gridCol w:w="2130"/>
        <w:gridCol w:w="2130"/>
        <w:gridCol w:w="2131"/>
        <w:gridCol w:w="2131"/>
      </w:tblGrid>
      <w:tr w:rsidR="00A87A85" w:rsidRPr="00623E87" w14:paraId="48C0A21D" w14:textId="77777777" w:rsidTr="00030298">
        <w:tc>
          <w:tcPr>
            <w:tcW w:w="2130" w:type="dxa"/>
          </w:tcPr>
          <w:p w14:paraId="78BBE3EC"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Species</w:t>
            </w:r>
          </w:p>
        </w:tc>
        <w:tc>
          <w:tcPr>
            <w:tcW w:w="2130" w:type="dxa"/>
          </w:tcPr>
          <w:p w14:paraId="5B23BB16"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Cochran–Armitage trend test (</w:t>
            </w:r>
            <w:proofErr w:type="spellStart"/>
            <w:r w:rsidRPr="00623E87">
              <w:rPr>
                <w:rFonts w:ascii="Times New Roman" w:hAnsi="Times New Roman" w:cs="Times New Roman"/>
                <w:i/>
                <w:iCs/>
              </w:rPr>
              <w:t>P</w:t>
            </w:r>
            <w:r w:rsidRPr="00623E87">
              <w:rPr>
                <w:rFonts w:ascii="Times New Roman" w:hAnsi="Times New Roman" w:cs="Times New Roman"/>
                <w:vertAlign w:val="subscript"/>
              </w:rPr>
              <w:t>trend</w:t>
            </w:r>
            <w:proofErr w:type="spellEnd"/>
            <w:r w:rsidRPr="00623E87">
              <w:rPr>
                <w:rFonts w:ascii="Times New Roman" w:hAnsi="Times New Roman" w:cs="Times New Roman"/>
              </w:rPr>
              <w:t>)</w:t>
            </w:r>
          </w:p>
        </w:tc>
        <w:tc>
          <w:tcPr>
            <w:tcW w:w="2131" w:type="dxa"/>
          </w:tcPr>
          <w:p w14:paraId="04CD19A1"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OR per year (95% CI)</w:t>
            </w:r>
          </w:p>
        </w:tc>
        <w:tc>
          <w:tcPr>
            <w:tcW w:w="2131" w:type="dxa"/>
          </w:tcPr>
          <w:p w14:paraId="4B5CF8C6"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 xml:space="preserve">Logistic </w:t>
            </w:r>
            <w:r>
              <w:rPr>
                <w:rFonts w:ascii="Times New Roman" w:hAnsi="Times New Roman" w:cs="Times New Roman" w:hint="eastAsia"/>
              </w:rPr>
              <w:t>r</w:t>
            </w:r>
            <w:r w:rsidRPr="00623E87">
              <w:rPr>
                <w:rFonts w:ascii="Times New Roman" w:hAnsi="Times New Roman" w:cs="Times New Roman"/>
              </w:rPr>
              <w:t>egression (</w:t>
            </w:r>
            <w:proofErr w:type="spellStart"/>
            <w:r w:rsidRPr="00623E87">
              <w:rPr>
                <w:rFonts w:ascii="Times New Roman" w:hAnsi="Times New Roman" w:cs="Times New Roman"/>
                <w:i/>
                <w:iCs/>
              </w:rPr>
              <w:t>P</w:t>
            </w:r>
            <w:r w:rsidRPr="00623E87">
              <w:rPr>
                <w:rFonts w:ascii="Times New Roman" w:hAnsi="Times New Roman" w:cs="Times New Roman"/>
                <w:vertAlign w:val="subscript"/>
              </w:rPr>
              <w:t>year</w:t>
            </w:r>
            <w:proofErr w:type="spellEnd"/>
            <w:r w:rsidRPr="00623E87">
              <w:rPr>
                <w:rFonts w:ascii="Times New Roman" w:hAnsi="Times New Roman" w:cs="Times New Roman"/>
              </w:rPr>
              <w:t>)</w:t>
            </w:r>
          </w:p>
        </w:tc>
      </w:tr>
      <w:tr w:rsidR="00A87A85" w:rsidRPr="00623E87" w14:paraId="539BD8F5" w14:textId="77777777" w:rsidTr="00030298">
        <w:tc>
          <w:tcPr>
            <w:tcW w:w="2130" w:type="dxa"/>
          </w:tcPr>
          <w:p w14:paraId="211818BD" w14:textId="77777777" w:rsidR="00A87A85" w:rsidRPr="00623E87" w:rsidRDefault="00A87A85" w:rsidP="00030298">
            <w:pPr>
              <w:jc w:val="center"/>
              <w:rPr>
                <w:rFonts w:ascii="Times New Roman" w:hAnsi="Times New Roman" w:cs="Times New Roman"/>
                <w:i/>
                <w:iCs/>
              </w:rPr>
            </w:pPr>
            <w:r w:rsidRPr="00623E87">
              <w:rPr>
                <w:rFonts w:ascii="Times New Roman" w:hAnsi="Times New Roman" w:cs="Times New Roman"/>
                <w:i/>
                <w:iCs/>
              </w:rPr>
              <w:t>E. coli</w:t>
            </w:r>
          </w:p>
        </w:tc>
        <w:tc>
          <w:tcPr>
            <w:tcW w:w="2130" w:type="dxa"/>
          </w:tcPr>
          <w:p w14:paraId="3479DB36"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0.362</w:t>
            </w:r>
          </w:p>
        </w:tc>
        <w:tc>
          <w:tcPr>
            <w:tcW w:w="2131" w:type="dxa"/>
          </w:tcPr>
          <w:p w14:paraId="41DB6435"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0.99 (0.97-1.01)</w:t>
            </w:r>
          </w:p>
        </w:tc>
        <w:tc>
          <w:tcPr>
            <w:tcW w:w="2131" w:type="dxa"/>
          </w:tcPr>
          <w:p w14:paraId="18A02AEF"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0.362</w:t>
            </w:r>
          </w:p>
        </w:tc>
      </w:tr>
      <w:tr w:rsidR="00A87A85" w:rsidRPr="00623E87" w14:paraId="6B0029FE" w14:textId="77777777" w:rsidTr="00030298">
        <w:tc>
          <w:tcPr>
            <w:tcW w:w="2130" w:type="dxa"/>
          </w:tcPr>
          <w:p w14:paraId="1CDF0972" w14:textId="77777777" w:rsidR="00A87A85" w:rsidRPr="00623E87" w:rsidRDefault="00A87A85" w:rsidP="00030298">
            <w:pPr>
              <w:jc w:val="center"/>
              <w:rPr>
                <w:rFonts w:ascii="Times New Roman" w:hAnsi="Times New Roman" w:cs="Times New Roman"/>
                <w:i/>
                <w:iCs/>
              </w:rPr>
            </w:pPr>
            <w:r w:rsidRPr="00623E87">
              <w:rPr>
                <w:rFonts w:ascii="Times New Roman" w:hAnsi="Times New Roman" w:cs="Times New Roman"/>
                <w:i/>
                <w:iCs/>
              </w:rPr>
              <w:t>K. pneumoniae</w:t>
            </w:r>
          </w:p>
        </w:tc>
        <w:tc>
          <w:tcPr>
            <w:tcW w:w="2130" w:type="dxa"/>
          </w:tcPr>
          <w:p w14:paraId="337A171B"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0.026</w:t>
            </w:r>
          </w:p>
        </w:tc>
        <w:tc>
          <w:tcPr>
            <w:tcW w:w="2131" w:type="dxa"/>
          </w:tcPr>
          <w:p w14:paraId="6DD54597"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1.03 (1.00-1.06)</w:t>
            </w:r>
          </w:p>
        </w:tc>
        <w:tc>
          <w:tcPr>
            <w:tcW w:w="2131" w:type="dxa"/>
          </w:tcPr>
          <w:p w14:paraId="29DBA971"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0.026</w:t>
            </w:r>
          </w:p>
        </w:tc>
      </w:tr>
      <w:tr w:rsidR="00A87A85" w:rsidRPr="00623E87" w14:paraId="772CD185" w14:textId="77777777" w:rsidTr="00030298">
        <w:tc>
          <w:tcPr>
            <w:tcW w:w="2130" w:type="dxa"/>
          </w:tcPr>
          <w:p w14:paraId="0057DC3B" w14:textId="77777777" w:rsidR="00A87A85" w:rsidRPr="00623E87" w:rsidRDefault="00A87A85" w:rsidP="00030298">
            <w:pPr>
              <w:jc w:val="center"/>
              <w:rPr>
                <w:rFonts w:ascii="Times New Roman" w:hAnsi="Times New Roman" w:cs="Times New Roman"/>
                <w:i/>
                <w:iCs/>
              </w:rPr>
            </w:pPr>
            <w:r w:rsidRPr="00623E87">
              <w:rPr>
                <w:rFonts w:ascii="Times New Roman" w:hAnsi="Times New Roman" w:cs="Times New Roman"/>
                <w:i/>
                <w:iCs/>
              </w:rPr>
              <w:t>S. aureus</w:t>
            </w:r>
          </w:p>
        </w:tc>
        <w:tc>
          <w:tcPr>
            <w:tcW w:w="2130" w:type="dxa"/>
          </w:tcPr>
          <w:p w14:paraId="45A866BA"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&lt; 0.001</w:t>
            </w:r>
          </w:p>
        </w:tc>
        <w:tc>
          <w:tcPr>
            <w:tcW w:w="2131" w:type="dxa"/>
          </w:tcPr>
          <w:p w14:paraId="6879B640"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0.93 (0.89-0.96)</w:t>
            </w:r>
          </w:p>
        </w:tc>
        <w:tc>
          <w:tcPr>
            <w:tcW w:w="2131" w:type="dxa"/>
          </w:tcPr>
          <w:p w14:paraId="2051A4D2"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&lt; 0.001</w:t>
            </w:r>
          </w:p>
        </w:tc>
      </w:tr>
      <w:tr w:rsidR="00A87A85" w:rsidRPr="00623E87" w14:paraId="33D36E4E" w14:textId="77777777" w:rsidTr="00030298">
        <w:tc>
          <w:tcPr>
            <w:tcW w:w="2130" w:type="dxa"/>
          </w:tcPr>
          <w:p w14:paraId="0D6ED53A" w14:textId="77777777" w:rsidR="00A87A85" w:rsidRPr="00623E87" w:rsidRDefault="00A87A85" w:rsidP="00030298">
            <w:pPr>
              <w:jc w:val="center"/>
              <w:rPr>
                <w:rFonts w:ascii="Times New Roman" w:hAnsi="Times New Roman" w:cs="Times New Roman"/>
                <w:i/>
                <w:iCs/>
              </w:rPr>
            </w:pPr>
            <w:r w:rsidRPr="00623E87">
              <w:rPr>
                <w:rFonts w:ascii="Times New Roman" w:hAnsi="Times New Roman" w:cs="Times New Roman"/>
                <w:i/>
                <w:iCs/>
              </w:rPr>
              <w:t>P. aeruginosa</w:t>
            </w:r>
          </w:p>
        </w:tc>
        <w:tc>
          <w:tcPr>
            <w:tcW w:w="2130" w:type="dxa"/>
          </w:tcPr>
          <w:p w14:paraId="6FF6D9ED"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&lt; 0.001</w:t>
            </w:r>
          </w:p>
        </w:tc>
        <w:tc>
          <w:tcPr>
            <w:tcW w:w="2131" w:type="dxa"/>
          </w:tcPr>
          <w:p w14:paraId="6C133A5A"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1.10 (1.05-1.14)</w:t>
            </w:r>
          </w:p>
        </w:tc>
        <w:tc>
          <w:tcPr>
            <w:tcW w:w="2131" w:type="dxa"/>
          </w:tcPr>
          <w:p w14:paraId="38B28635"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&lt; 0.001</w:t>
            </w:r>
          </w:p>
        </w:tc>
      </w:tr>
      <w:tr w:rsidR="00A87A85" w:rsidRPr="00623E87" w14:paraId="51DB0DB2" w14:textId="77777777" w:rsidTr="00030298">
        <w:tc>
          <w:tcPr>
            <w:tcW w:w="2130" w:type="dxa"/>
          </w:tcPr>
          <w:p w14:paraId="513B7203" w14:textId="77777777" w:rsidR="00A87A85" w:rsidRPr="00623E87" w:rsidRDefault="00A87A85" w:rsidP="00030298">
            <w:pPr>
              <w:jc w:val="center"/>
              <w:rPr>
                <w:rFonts w:ascii="Times New Roman" w:hAnsi="Times New Roman" w:cs="Times New Roman"/>
                <w:i/>
                <w:iCs/>
              </w:rPr>
            </w:pPr>
            <w:r w:rsidRPr="00623E87">
              <w:rPr>
                <w:rFonts w:ascii="Times New Roman" w:hAnsi="Times New Roman" w:cs="Times New Roman"/>
                <w:i/>
                <w:iCs/>
              </w:rPr>
              <w:t>A. baumannii</w:t>
            </w:r>
          </w:p>
        </w:tc>
        <w:tc>
          <w:tcPr>
            <w:tcW w:w="2130" w:type="dxa"/>
          </w:tcPr>
          <w:p w14:paraId="7091C876"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0.376</w:t>
            </w:r>
          </w:p>
        </w:tc>
        <w:tc>
          <w:tcPr>
            <w:tcW w:w="2131" w:type="dxa"/>
          </w:tcPr>
          <w:p w14:paraId="23C43BDF"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1.02 (0.97-1.07)</w:t>
            </w:r>
          </w:p>
        </w:tc>
        <w:tc>
          <w:tcPr>
            <w:tcW w:w="2131" w:type="dxa"/>
          </w:tcPr>
          <w:p w14:paraId="3A39AE28"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0.377</w:t>
            </w:r>
          </w:p>
        </w:tc>
      </w:tr>
    </w:tbl>
    <w:p w14:paraId="5BA94559" w14:textId="77777777" w:rsidR="00A87A85" w:rsidRPr="003E7C69" w:rsidRDefault="00A87A85" w:rsidP="00A87A85">
      <w:pPr>
        <w:rPr>
          <w:rFonts w:ascii="Times New Roman" w:hAnsi="Times New Roman" w:cs="Times New Roman"/>
          <w:sz w:val="20"/>
          <w:szCs w:val="21"/>
        </w:rPr>
      </w:pPr>
      <w:r w:rsidRPr="003E7C69">
        <w:rPr>
          <w:rFonts w:ascii="Times New Roman" w:hAnsi="Times New Roman" w:cs="Times New Roman"/>
          <w:sz w:val="20"/>
          <w:szCs w:val="21"/>
        </w:rPr>
        <w:t>Note: ORs represent the change in odds associated with each one-year increase in calendar year, estimated using logistic regression. OR &gt; 1 indicates an increasing temporal trend, whereas OR &lt; 1 indicates a decreasing temporal trend.</w:t>
      </w:r>
    </w:p>
    <w:p w14:paraId="07D63F74" w14:textId="77777777" w:rsidR="00A87A85" w:rsidRPr="00623E87" w:rsidRDefault="00A87A85" w:rsidP="00A87A85">
      <w:pPr>
        <w:rPr>
          <w:rFonts w:ascii="Times New Roman" w:hAnsi="Times New Roman" w:cs="Times New Roman"/>
        </w:rPr>
      </w:pPr>
    </w:p>
    <w:p w14:paraId="414CE9A2" w14:textId="77777777" w:rsidR="00A87A85" w:rsidRPr="00623E87" w:rsidRDefault="00A87A85" w:rsidP="00A87A85">
      <w:pPr>
        <w:rPr>
          <w:rFonts w:ascii="Times New Roman" w:hAnsi="Times New Roman" w:cs="Times New Roman"/>
        </w:rPr>
      </w:pPr>
      <w:r w:rsidRPr="00623E87">
        <w:rPr>
          <w:rFonts w:ascii="Times New Roman" w:hAnsi="Times New Roman" w:cs="Times New Roman"/>
        </w:rPr>
        <w:t>Table S2. Temporal trends in the prevalence of major antimicrobial-resistant phenotypes between 2017 and 2025.</w:t>
      </w:r>
    </w:p>
    <w:tbl>
      <w:tblPr>
        <w:tblStyle w:val="af2"/>
        <w:tblW w:w="0" w:type="auto"/>
        <w:tblLook w:val="04A0" w:firstRow="1" w:lastRow="0" w:firstColumn="1" w:lastColumn="0" w:noHBand="0" w:noVBand="1"/>
      </w:tblPr>
      <w:tblGrid>
        <w:gridCol w:w="2130"/>
        <w:gridCol w:w="2130"/>
        <w:gridCol w:w="2131"/>
        <w:gridCol w:w="2131"/>
      </w:tblGrid>
      <w:tr w:rsidR="00A87A85" w:rsidRPr="00623E87" w14:paraId="61B1E210" w14:textId="77777777" w:rsidTr="00030298">
        <w:tc>
          <w:tcPr>
            <w:tcW w:w="2130" w:type="dxa"/>
          </w:tcPr>
          <w:p w14:paraId="3EABB0F0"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Resistance phenotype</w:t>
            </w:r>
          </w:p>
        </w:tc>
        <w:tc>
          <w:tcPr>
            <w:tcW w:w="2130" w:type="dxa"/>
          </w:tcPr>
          <w:p w14:paraId="5BAFACCB"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Cochran–Armitage trend test (</w:t>
            </w:r>
            <w:proofErr w:type="spellStart"/>
            <w:r w:rsidRPr="00623E87">
              <w:rPr>
                <w:rFonts w:ascii="Times New Roman" w:hAnsi="Times New Roman" w:cs="Times New Roman"/>
                <w:i/>
                <w:iCs/>
              </w:rPr>
              <w:t>P</w:t>
            </w:r>
            <w:r w:rsidRPr="00623E87">
              <w:rPr>
                <w:rFonts w:ascii="Times New Roman" w:hAnsi="Times New Roman" w:cs="Times New Roman"/>
                <w:vertAlign w:val="subscript"/>
              </w:rPr>
              <w:t>trend</w:t>
            </w:r>
            <w:proofErr w:type="spellEnd"/>
            <w:r w:rsidRPr="00623E87">
              <w:rPr>
                <w:rFonts w:ascii="Times New Roman" w:hAnsi="Times New Roman" w:cs="Times New Roman"/>
              </w:rPr>
              <w:t>)</w:t>
            </w:r>
          </w:p>
        </w:tc>
        <w:tc>
          <w:tcPr>
            <w:tcW w:w="2131" w:type="dxa"/>
          </w:tcPr>
          <w:p w14:paraId="7D84DE21"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OR per year (95% CI)</w:t>
            </w:r>
          </w:p>
        </w:tc>
        <w:tc>
          <w:tcPr>
            <w:tcW w:w="2131" w:type="dxa"/>
          </w:tcPr>
          <w:p w14:paraId="6D4A97E3"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 xml:space="preserve">Logistic </w:t>
            </w:r>
            <w:r>
              <w:rPr>
                <w:rFonts w:ascii="Times New Roman" w:hAnsi="Times New Roman" w:cs="Times New Roman" w:hint="eastAsia"/>
              </w:rPr>
              <w:t>r</w:t>
            </w:r>
            <w:r w:rsidRPr="00623E87">
              <w:rPr>
                <w:rFonts w:ascii="Times New Roman" w:hAnsi="Times New Roman" w:cs="Times New Roman"/>
              </w:rPr>
              <w:t>egression (</w:t>
            </w:r>
            <w:proofErr w:type="spellStart"/>
            <w:r w:rsidRPr="00623E87">
              <w:rPr>
                <w:rFonts w:ascii="Times New Roman" w:hAnsi="Times New Roman" w:cs="Times New Roman"/>
                <w:i/>
                <w:iCs/>
              </w:rPr>
              <w:t>P</w:t>
            </w:r>
            <w:r w:rsidRPr="00623E87">
              <w:rPr>
                <w:rFonts w:ascii="Times New Roman" w:hAnsi="Times New Roman" w:cs="Times New Roman"/>
                <w:vertAlign w:val="subscript"/>
              </w:rPr>
              <w:t>year</w:t>
            </w:r>
            <w:proofErr w:type="spellEnd"/>
            <w:r w:rsidRPr="00623E87">
              <w:rPr>
                <w:rFonts w:ascii="Times New Roman" w:hAnsi="Times New Roman" w:cs="Times New Roman"/>
              </w:rPr>
              <w:t>)</w:t>
            </w:r>
          </w:p>
        </w:tc>
      </w:tr>
      <w:tr w:rsidR="00A87A85" w:rsidRPr="00623E87" w14:paraId="7614B5DB" w14:textId="77777777" w:rsidTr="00030298">
        <w:tc>
          <w:tcPr>
            <w:tcW w:w="2130" w:type="dxa"/>
          </w:tcPr>
          <w:p w14:paraId="003A70BC"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CRAB</w:t>
            </w:r>
          </w:p>
        </w:tc>
        <w:tc>
          <w:tcPr>
            <w:tcW w:w="2130" w:type="dxa"/>
          </w:tcPr>
          <w:p w14:paraId="5D038582"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0.603</w:t>
            </w:r>
          </w:p>
        </w:tc>
        <w:tc>
          <w:tcPr>
            <w:tcW w:w="2131" w:type="dxa"/>
          </w:tcPr>
          <w:p w14:paraId="6B25A251"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0.96 (0.83-1.12)</w:t>
            </w:r>
          </w:p>
        </w:tc>
        <w:tc>
          <w:tcPr>
            <w:tcW w:w="2131" w:type="dxa"/>
          </w:tcPr>
          <w:p w14:paraId="1DD100B4"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0.603</w:t>
            </w:r>
          </w:p>
        </w:tc>
      </w:tr>
      <w:tr w:rsidR="00A87A85" w:rsidRPr="00623E87" w14:paraId="30DF03B5" w14:textId="77777777" w:rsidTr="00030298">
        <w:tc>
          <w:tcPr>
            <w:tcW w:w="2130" w:type="dxa"/>
          </w:tcPr>
          <w:p w14:paraId="139182CE"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CRE</w:t>
            </w:r>
          </w:p>
        </w:tc>
        <w:tc>
          <w:tcPr>
            <w:tcW w:w="2130" w:type="dxa"/>
          </w:tcPr>
          <w:p w14:paraId="5053D035"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0.008</w:t>
            </w:r>
          </w:p>
        </w:tc>
        <w:tc>
          <w:tcPr>
            <w:tcW w:w="2131" w:type="dxa"/>
          </w:tcPr>
          <w:p w14:paraId="3A676403"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1.19 (1.05-1.37)</w:t>
            </w:r>
          </w:p>
        </w:tc>
        <w:tc>
          <w:tcPr>
            <w:tcW w:w="2131" w:type="dxa"/>
          </w:tcPr>
          <w:p w14:paraId="2B748A01"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0.009</w:t>
            </w:r>
          </w:p>
        </w:tc>
      </w:tr>
      <w:tr w:rsidR="00A87A85" w:rsidRPr="00623E87" w14:paraId="2E5D4428" w14:textId="77777777" w:rsidTr="00030298">
        <w:tc>
          <w:tcPr>
            <w:tcW w:w="2130" w:type="dxa"/>
          </w:tcPr>
          <w:p w14:paraId="769E0B32"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MRSA</w:t>
            </w:r>
          </w:p>
        </w:tc>
        <w:tc>
          <w:tcPr>
            <w:tcW w:w="2130" w:type="dxa"/>
          </w:tcPr>
          <w:p w14:paraId="28207234"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0.098</w:t>
            </w:r>
          </w:p>
        </w:tc>
        <w:tc>
          <w:tcPr>
            <w:tcW w:w="2131" w:type="dxa"/>
          </w:tcPr>
          <w:p w14:paraId="7FCA043C"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0.88 (0.74-1.02)</w:t>
            </w:r>
          </w:p>
        </w:tc>
        <w:tc>
          <w:tcPr>
            <w:tcW w:w="2131" w:type="dxa"/>
          </w:tcPr>
          <w:p w14:paraId="04117FB7"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0.101</w:t>
            </w:r>
          </w:p>
        </w:tc>
      </w:tr>
      <w:tr w:rsidR="00A87A85" w:rsidRPr="00623E87" w14:paraId="04C90C67" w14:textId="77777777" w:rsidTr="00030298">
        <w:tc>
          <w:tcPr>
            <w:tcW w:w="2130" w:type="dxa"/>
          </w:tcPr>
          <w:p w14:paraId="4B0C809B"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lastRenderedPageBreak/>
              <w:t>ESBL</w:t>
            </w:r>
            <w:r>
              <w:rPr>
                <w:rFonts w:ascii="Times New Roman" w:hAnsi="Times New Roman" w:cs="Times New Roman" w:hint="eastAsia"/>
              </w:rPr>
              <w:t>-</w:t>
            </w:r>
            <w:r w:rsidRPr="004539F3">
              <w:rPr>
                <w:rFonts w:ascii="Times New Roman" w:hAnsi="Times New Roman" w:cs="Times New Roman"/>
              </w:rPr>
              <w:t>EC</w:t>
            </w:r>
          </w:p>
        </w:tc>
        <w:tc>
          <w:tcPr>
            <w:tcW w:w="2130" w:type="dxa"/>
          </w:tcPr>
          <w:p w14:paraId="39AE9E7D"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0.524</w:t>
            </w:r>
          </w:p>
        </w:tc>
        <w:tc>
          <w:tcPr>
            <w:tcW w:w="2131" w:type="dxa"/>
          </w:tcPr>
          <w:p w14:paraId="7B02F5A0"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0.98 (0.92-1.04)</w:t>
            </w:r>
          </w:p>
        </w:tc>
        <w:tc>
          <w:tcPr>
            <w:tcW w:w="2131" w:type="dxa"/>
          </w:tcPr>
          <w:p w14:paraId="3B96019F"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0.524</w:t>
            </w:r>
          </w:p>
        </w:tc>
      </w:tr>
      <w:tr w:rsidR="00A87A85" w:rsidRPr="00623E87" w14:paraId="07862355" w14:textId="77777777" w:rsidTr="00030298">
        <w:tc>
          <w:tcPr>
            <w:tcW w:w="2130" w:type="dxa"/>
          </w:tcPr>
          <w:p w14:paraId="2FED8484"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ESBL</w:t>
            </w:r>
            <w:r>
              <w:rPr>
                <w:rFonts w:ascii="Times New Roman" w:hAnsi="Times New Roman" w:cs="Times New Roman" w:hint="eastAsia"/>
              </w:rPr>
              <w:t>-KP</w:t>
            </w:r>
          </w:p>
        </w:tc>
        <w:tc>
          <w:tcPr>
            <w:tcW w:w="2130" w:type="dxa"/>
          </w:tcPr>
          <w:p w14:paraId="46017F2A"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0.262</w:t>
            </w:r>
          </w:p>
        </w:tc>
        <w:tc>
          <w:tcPr>
            <w:tcW w:w="2131" w:type="dxa"/>
          </w:tcPr>
          <w:p w14:paraId="42784579"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1.04 (0.97-1.12)</w:t>
            </w:r>
          </w:p>
        </w:tc>
        <w:tc>
          <w:tcPr>
            <w:tcW w:w="2131" w:type="dxa"/>
          </w:tcPr>
          <w:p w14:paraId="1B0E1D48" w14:textId="77777777" w:rsidR="00A87A85" w:rsidRPr="00623E87" w:rsidRDefault="00A87A85" w:rsidP="00030298">
            <w:pPr>
              <w:jc w:val="center"/>
              <w:rPr>
                <w:rFonts w:ascii="Times New Roman" w:hAnsi="Times New Roman" w:cs="Times New Roman"/>
              </w:rPr>
            </w:pPr>
            <w:r w:rsidRPr="00623E87">
              <w:rPr>
                <w:rFonts w:ascii="Times New Roman" w:hAnsi="Times New Roman" w:cs="Times New Roman"/>
              </w:rPr>
              <w:t>0.263</w:t>
            </w:r>
          </w:p>
        </w:tc>
      </w:tr>
    </w:tbl>
    <w:p w14:paraId="400634FE" w14:textId="77777777" w:rsidR="00A87A85" w:rsidRPr="003E7C69" w:rsidRDefault="00A87A85" w:rsidP="00A87A85">
      <w:pPr>
        <w:rPr>
          <w:rFonts w:ascii="Times New Roman" w:hAnsi="Times New Roman" w:cs="Times New Roman"/>
          <w:sz w:val="20"/>
          <w:szCs w:val="21"/>
        </w:rPr>
      </w:pPr>
      <w:r w:rsidRPr="003E7C69">
        <w:rPr>
          <w:rFonts w:ascii="Times New Roman" w:hAnsi="Times New Roman" w:cs="Times New Roman"/>
          <w:sz w:val="20"/>
          <w:szCs w:val="21"/>
        </w:rPr>
        <w:t>Note: ORs represent the change in odds associated with each one-year increase in calendar year, estimated using logistic regression. OR &gt; 1 indicates an increasing temporal trend, whereas OR &lt; 1 indicates a decreasing temporal trend.</w:t>
      </w:r>
      <w:r w:rsidRPr="003E7C69">
        <w:rPr>
          <w:rFonts w:ascii="Times New Roman" w:hAnsi="Times New Roman" w:cs="Times New Roman" w:hint="eastAsia"/>
          <w:sz w:val="20"/>
          <w:szCs w:val="21"/>
        </w:rPr>
        <w:t xml:space="preserve"> </w:t>
      </w:r>
      <w:r w:rsidRPr="003E7C69">
        <w:rPr>
          <w:rFonts w:ascii="Times New Roman" w:hAnsi="Times New Roman" w:cs="Times New Roman"/>
          <w:sz w:val="20"/>
          <w:szCs w:val="21"/>
        </w:rPr>
        <w:t xml:space="preserve">ESBL-EC, extended-spectrum β-lactamase-producing </w:t>
      </w:r>
      <w:r w:rsidRPr="003E7C69">
        <w:rPr>
          <w:rFonts w:ascii="Times New Roman" w:hAnsi="Times New Roman" w:cs="Times New Roman"/>
          <w:i/>
          <w:iCs/>
          <w:sz w:val="20"/>
          <w:szCs w:val="21"/>
        </w:rPr>
        <w:t>E. coli</w:t>
      </w:r>
      <w:r w:rsidRPr="003E7C69">
        <w:rPr>
          <w:rFonts w:ascii="Times New Roman" w:hAnsi="Times New Roman" w:cs="Times New Roman"/>
          <w:sz w:val="20"/>
          <w:szCs w:val="21"/>
        </w:rPr>
        <w:t xml:space="preserve">; ESBL-KP, extended-spectrum β-lactamase-producing </w:t>
      </w:r>
      <w:r w:rsidRPr="003E7C69">
        <w:rPr>
          <w:rFonts w:ascii="Times New Roman" w:hAnsi="Times New Roman" w:cs="Times New Roman"/>
          <w:i/>
          <w:iCs/>
          <w:sz w:val="20"/>
          <w:szCs w:val="21"/>
        </w:rPr>
        <w:t>K. pneumoniae</w:t>
      </w:r>
      <w:r w:rsidRPr="003E7C69">
        <w:rPr>
          <w:rFonts w:ascii="Times New Roman" w:hAnsi="Times New Roman" w:cs="Times New Roman" w:hint="eastAsia"/>
          <w:sz w:val="20"/>
          <w:szCs w:val="21"/>
        </w:rPr>
        <w:t>.</w:t>
      </w:r>
    </w:p>
    <w:p w14:paraId="492BC831" w14:textId="77777777" w:rsidR="00A87A85" w:rsidRPr="00F02419" w:rsidRDefault="00A87A85" w:rsidP="00A87A85">
      <w:pPr>
        <w:rPr>
          <w:rFonts w:ascii="Times New Roman" w:hAnsi="Times New Roman" w:cs="Times New Roman"/>
        </w:rPr>
      </w:pPr>
    </w:p>
    <w:p w14:paraId="2FABEA6D" w14:textId="77777777" w:rsidR="00A87A85" w:rsidRPr="008333E6" w:rsidRDefault="00A87A85" w:rsidP="00A87A85">
      <w:pPr>
        <w:spacing w:line="480" w:lineRule="auto"/>
        <w:rPr>
          <w:rFonts w:ascii="Times New Roman" w:hAnsi="Times New Roman" w:cs="Times New Roman"/>
        </w:rPr>
      </w:pPr>
      <w:r w:rsidRPr="008333E6">
        <w:rPr>
          <w:rFonts w:ascii="Times New Roman" w:hAnsi="Times New Roman" w:cs="Times New Roman"/>
        </w:rPr>
        <w:t>Table S</w:t>
      </w:r>
      <w:r>
        <w:rPr>
          <w:rFonts w:ascii="Times New Roman" w:hAnsi="Times New Roman" w:cs="Times New Roman" w:hint="eastAsia"/>
        </w:rPr>
        <w:t>3</w:t>
      </w:r>
      <w:r w:rsidRPr="008333E6">
        <w:rPr>
          <w:rFonts w:ascii="Times New Roman" w:hAnsi="Times New Roman" w:cs="Times New Roman"/>
        </w:rPr>
        <w:t xml:space="preserve">. Antimicrobial resistance trends of </w:t>
      </w:r>
      <w:r w:rsidRPr="008333E6">
        <w:rPr>
          <w:rFonts w:ascii="Times New Roman" w:hAnsi="Times New Roman" w:cs="Times New Roman"/>
          <w:i/>
          <w:iCs/>
        </w:rPr>
        <w:t>E. coli</w:t>
      </w:r>
      <w:r w:rsidRPr="008333E6">
        <w:rPr>
          <w:rFonts w:ascii="Times New Roman" w:hAnsi="Times New Roman" w:cs="Times New Roman"/>
        </w:rPr>
        <w:t xml:space="preserve"> across individual antibiotics (2017–2025).</w:t>
      </w:r>
    </w:p>
    <w:tbl>
      <w:tblPr>
        <w:tblStyle w:val="af2"/>
        <w:tblW w:w="11446" w:type="dxa"/>
        <w:tblLayout w:type="fixed"/>
        <w:tblLook w:val="04A0" w:firstRow="1" w:lastRow="0" w:firstColumn="1" w:lastColumn="0" w:noHBand="0" w:noVBand="1"/>
      </w:tblPr>
      <w:tblGrid>
        <w:gridCol w:w="1844"/>
        <w:gridCol w:w="709"/>
        <w:gridCol w:w="708"/>
        <w:gridCol w:w="709"/>
        <w:gridCol w:w="709"/>
        <w:gridCol w:w="709"/>
        <w:gridCol w:w="708"/>
        <w:gridCol w:w="709"/>
        <w:gridCol w:w="709"/>
        <w:gridCol w:w="709"/>
        <w:gridCol w:w="709"/>
        <w:gridCol w:w="2514"/>
      </w:tblGrid>
      <w:tr w:rsidR="00A87A85" w:rsidRPr="008333E6" w14:paraId="107FC51B" w14:textId="77777777" w:rsidTr="00030298">
        <w:trPr>
          <w:gridAfter w:val="1"/>
          <w:wAfter w:w="2514" w:type="dxa"/>
        </w:trPr>
        <w:tc>
          <w:tcPr>
            <w:tcW w:w="1844" w:type="dxa"/>
            <w:vAlign w:val="center"/>
          </w:tcPr>
          <w:p w14:paraId="714D1D47"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hAnsi="Times New Roman" w:cs="Times New Roman"/>
                <w:sz w:val="20"/>
                <w:szCs w:val="20"/>
              </w:rPr>
              <w:t>Resistance rate</w:t>
            </w:r>
          </w:p>
          <w:p w14:paraId="36692A26"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hAnsi="Times New Roman" w:cs="Times New Roman"/>
                <w:sz w:val="20"/>
                <w:szCs w:val="20"/>
              </w:rPr>
              <w:t>(</w:t>
            </w:r>
            <w:r w:rsidRPr="00003725">
              <w:rPr>
                <w:rFonts w:ascii="Times New Roman" w:eastAsia="宋体" w:hAnsi="Times New Roman" w:cs="Times New Roman"/>
                <w:i/>
                <w:iCs/>
                <w:kern w:val="0"/>
                <w:sz w:val="20"/>
                <w:szCs w:val="20"/>
                <w14:ligatures w14:val="none"/>
              </w:rPr>
              <w:t>E. coli</w:t>
            </w:r>
            <w:r w:rsidRPr="00003725">
              <w:rPr>
                <w:rFonts w:ascii="Times New Roman" w:hAnsi="Times New Roman" w:cs="Times New Roman"/>
                <w:sz w:val="20"/>
                <w:szCs w:val="20"/>
              </w:rPr>
              <w:t>)</w:t>
            </w:r>
          </w:p>
        </w:tc>
        <w:tc>
          <w:tcPr>
            <w:tcW w:w="709" w:type="dxa"/>
            <w:vAlign w:val="center"/>
          </w:tcPr>
          <w:p w14:paraId="7B82C94B"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eastAsia="宋体" w:hAnsi="Times New Roman" w:cs="Times New Roman"/>
                <w:kern w:val="0"/>
                <w:sz w:val="20"/>
                <w:szCs w:val="20"/>
                <w14:ligatures w14:val="none"/>
              </w:rPr>
              <w:t>2017</w:t>
            </w:r>
          </w:p>
        </w:tc>
        <w:tc>
          <w:tcPr>
            <w:tcW w:w="708" w:type="dxa"/>
            <w:vAlign w:val="center"/>
          </w:tcPr>
          <w:p w14:paraId="63714C1D"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2018</w:t>
            </w:r>
          </w:p>
        </w:tc>
        <w:tc>
          <w:tcPr>
            <w:tcW w:w="709" w:type="dxa"/>
            <w:vAlign w:val="center"/>
          </w:tcPr>
          <w:p w14:paraId="0C81D6C5"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2019</w:t>
            </w:r>
          </w:p>
        </w:tc>
        <w:tc>
          <w:tcPr>
            <w:tcW w:w="709" w:type="dxa"/>
            <w:vAlign w:val="center"/>
          </w:tcPr>
          <w:p w14:paraId="6C18FC0F"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eastAsia="宋体" w:hAnsi="Times New Roman" w:cs="Times New Roman"/>
                <w:kern w:val="0"/>
                <w:sz w:val="20"/>
                <w:szCs w:val="20"/>
                <w14:ligatures w14:val="none"/>
              </w:rPr>
              <w:t>2020</w:t>
            </w:r>
          </w:p>
        </w:tc>
        <w:tc>
          <w:tcPr>
            <w:tcW w:w="709" w:type="dxa"/>
            <w:vAlign w:val="center"/>
          </w:tcPr>
          <w:p w14:paraId="158ACA02"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eastAsia="宋体" w:hAnsi="Times New Roman" w:cs="Times New Roman"/>
                <w:kern w:val="0"/>
                <w:sz w:val="20"/>
                <w:szCs w:val="20"/>
                <w14:ligatures w14:val="none"/>
              </w:rPr>
              <w:t>2021</w:t>
            </w:r>
          </w:p>
        </w:tc>
        <w:tc>
          <w:tcPr>
            <w:tcW w:w="708" w:type="dxa"/>
            <w:vAlign w:val="center"/>
          </w:tcPr>
          <w:p w14:paraId="08745A43"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hAnsi="Times New Roman" w:cs="Times New Roman"/>
                <w:sz w:val="20"/>
                <w:szCs w:val="20"/>
              </w:rPr>
              <w:t>2022</w:t>
            </w:r>
          </w:p>
        </w:tc>
        <w:tc>
          <w:tcPr>
            <w:tcW w:w="709" w:type="dxa"/>
            <w:vAlign w:val="center"/>
          </w:tcPr>
          <w:p w14:paraId="72B78445"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eastAsia="宋体" w:hAnsi="Times New Roman" w:cs="Times New Roman"/>
                <w:kern w:val="0"/>
                <w:sz w:val="20"/>
                <w:szCs w:val="20"/>
                <w14:ligatures w14:val="none"/>
              </w:rPr>
              <w:t>2023</w:t>
            </w:r>
          </w:p>
        </w:tc>
        <w:tc>
          <w:tcPr>
            <w:tcW w:w="709" w:type="dxa"/>
            <w:vAlign w:val="center"/>
          </w:tcPr>
          <w:p w14:paraId="055A334C"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2024</w:t>
            </w:r>
          </w:p>
        </w:tc>
        <w:tc>
          <w:tcPr>
            <w:tcW w:w="709" w:type="dxa"/>
            <w:vAlign w:val="center"/>
          </w:tcPr>
          <w:p w14:paraId="706E9132"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2025</w:t>
            </w:r>
          </w:p>
        </w:tc>
        <w:tc>
          <w:tcPr>
            <w:tcW w:w="709" w:type="dxa"/>
            <w:vAlign w:val="center"/>
          </w:tcPr>
          <w:p w14:paraId="5CC519E8"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Total</w:t>
            </w:r>
          </w:p>
        </w:tc>
      </w:tr>
      <w:tr w:rsidR="00A87A85" w:rsidRPr="008333E6" w14:paraId="327A58F9" w14:textId="77777777" w:rsidTr="00030298">
        <w:trPr>
          <w:gridAfter w:val="1"/>
          <w:wAfter w:w="2514" w:type="dxa"/>
        </w:trPr>
        <w:tc>
          <w:tcPr>
            <w:tcW w:w="8932" w:type="dxa"/>
            <w:gridSpan w:val="11"/>
            <w:shd w:val="clear" w:color="auto" w:fill="D9D9D9" w:themeFill="background1" w:themeFillShade="D9"/>
            <w:vAlign w:val="center"/>
          </w:tcPr>
          <w:p w14:paraId="10B95EE6" w14:textId="77777777" w:rsidR="00A87A85" w:rsidRPr="00003725" w:rsidRDefault="00A87A85" w:rsidP="00030298">
            <w:pPr>
              <w:spacing w:line="360" w:lineRule="auto"/>
              <w:rPr>
                <w:rFonts w:ascii="Times New Roman" w:eastAsia="宋体" w:hAnsi="Times New Roman" w:cs="Times New Roman"/>
                <w:kern w:val="0"/>
                <w:sz w:val="20"/>
                <w:szCs w:val="20"/>
                <w14:ligatures w14:val="none"/>
              </w:rPr>
            </w:pPr>
            <w:r w:rsidRPr="00003725">
              <w:rPr>
                <w:rFonts w:ascii="Times New Roman" w:eastAsia="宋体" w:hAnsi="Times New Roman" w:cs="Times New Roman"/>
                <w:kern w:val="0"/>
                <w:sz w:val="20"/>
                <w:szCs w:val="20"/>
                <w14:ligatures w14:val="none"/>
              </w:rPr>
              <w:t>Aminoglycosides</w:t>
            </w:r>
          </w:p>
        </w:tc>
      </w:tr>
      <w:tr w:rsidR="00A87A85" w:rsidRPr="008333E6" w14:paraId="3072B5A6" w14:textId="77777777" w:rsidTr="00030298">
        <w:trPr>
          <w:gridAfter w:val="1"/>
          <w:wAfter w:w="2514" w:type="dxa"/>
        </w:trPr>
        <w:tc>
          <w:tcPr>
            <w:tcW w:w="1844" w:type="dxa"/>
            <w:vAlign w:val="center"/>
          </w:tcPr>
          <w:p w14:paraId="1AB423DF"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hAnsi="Times New Roman" w:cs="Times New Roman"/>
                <w:sz w:val="20"/>
                <w:szCs w:val="20"/>
              </w:rPr>
              <w:t>Amikacin</w:t>
            </w:r>
          </w:p>
        </w:tc>
        <w:tc>
          <w:tcPr>
            <w:tcW w:w="709" w:type="dxa"/>
            <w:tcBorders>
              <w:top w:val="single" w:sz="4" w:space="0" w:color="auto"/>
              <w:left w:val="nil"/>
              <w:bottom w:val="single" w:sz="4" w:space="0" w:color="auto"/>
              <w:right w:val="single" w:sz="4" w:space="0" w:color="auto"/>
            </w:tcBorders>
            <w:vAlign w:val="center"/>
          </w:tcPr>
          <w:p w14:paraId="0BD0EC92"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3.9%</w:t>
            </w:r>
          </w:p>
        </w:tc>
        <w:tc>
          <w:tcPr>
            <w:tcW w:w="708" w:type="dxa"/>
            <w:tcBorders>
              <w:top w:val="single" w:sz="4" w:space="0" w:color="auto"/>
              <w:left w:val="single" w:sz="4" w:space="0" w:color="auto"/>
              <w:bottom w:val="single" w:sz="4" w:space="0" w:color="auto"/>
              <w:right w:val="single" w:sz="4" w:space="0" w:color="auto"/>
            </w:tcBorders>
            <w:vAlign w:val="center"/>
          </w:tcPr>
          <w:p w14:paraId="6910463F"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14:paraId="3063DB58"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6.9%</w:t>
            </w:r>
          </w:p>
        </w:tc>
        <w:tc>
          <w:tcPr>
            <w:tcW w:w="709" w:type="dxa"/>
            <w:tcBorders>
              <w:top w:val="single" w:sz="4" w:space="0" w:color="auto"/>
              <w:left w:val="single" w:sz="4" w:space="0" w:color="auto"/>
              <w:bottom w:val="single" w:sz="4" w:space="0" w:color="auto"/>
              <w:right w:val="single" w:sz="4" w:space="0" w:color="auto"/>
            </w:tcBorders>
            <w:vAlign w:val="center"/>
          </w:tcPr>
          <w:p w14:paraId="01E28D7F"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9.1%</w:t>
            </w:r>
          </w:p>
        </w:tc>
        <w:tc>
          <w:tcPr>
            <w:tcW w:w="709" w:type="dxa"/>
            <w:tcBorders>
              <w:top w:val="single" w:sz="4" w:space="0" w:color="auto"/>
              <w:left w:val="single" w:sz="4" w:space="0" w:color="auto"/>
              <w:bottom w:val="single" w:sz="4" w:space="0" w:color="auto"/>
              <w:right w:val="single" w:sz="4" w:space="0" w:color="auto"/>
            </w:tcBorders>
            <w:vAlign w:val="center"/>
          </w:tcPr>
          <w:p w14:paraId="6B5B0266"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11.1%</w:t>
            </w:r>
          </w:p>
        </w:tc>
        <w:tc>
          <w:tcPr>
            <w:tcW w:w="708" w:type="dxa"/>
            <w:tcBorders>
              <w:top w:val="single" w:sz="4" w:space="0" w:color="auto"/>
              <w:left w:val="single" w:sz="4" w:space="0" w:color="auto"/>
              <w:bottom w:val="single" w:sz="4" w:space="0" w:color="auto"/>
              <w:right w:val="single" w:sz="4" w:space="0" w:color="auto"/>
            </w:tcBorders>
            <w:vAlign w:val="center"/>
          </w:tcPr>
          <w:p w14:paraId="1D77E4EA"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7.3%</w:t>
            </w:r>
          </w:p>
        </w:tc>
        <w:tc>
          <w:tcPr>
            <w:tcW w:w="709" w:type="dxa"/>
            <w:tcBorders>
              <w:top w:val="single" w:sz="4" w:space="0" w:color="auto"/>
              <w:left w:val="single" w:sz="4" w:space="0" w:color="auto"/>
              <w:bottom w:val="single" w:sz="4" w:space="0" w:color="auto"/>
              <w:right w:val="single" w:sz="4" w:space="0" w:color="auto"/>
            </w:tcBorders>
            <w:vAlign w:val="center"/>
          </w:tcPr>
          <w:p w14:paraId="1B95B81B"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15.4%</w:t>
            </w:r>
          </w:p>
        </w:tc>
        <w:tc>
          <w:tcPr>
            <w:tcW w:w="709" w:type="dxa"/>
            <w:tcBorders>
              <w:top w:val="single" w:sz="4" w:space="0" w:color="auto"/>
              <w:left w:val="single" w:sz="4" w:space="0" w:color="auto"/>
              <w:bottom w:val="single" w:sz="4" w:space="0" w:color="auto"/>
              <w:right w:val="single" w:sz="4" w:space="0" w:color="auto"/>
            </w:tcBorders>
            <w:vAlign w:val="center"/>
          </w:tcPr>
          <w:p w14:paraId="59C4A824"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5.6%</w:t>
            </w:r>
          </w:p>
        </w:tc>
        <w:tc>
          <w:tcPr>
            <w:tcW w:w="709" w:type="dxa"/>
            <w:tcBorders>
              <w:top w:val="single" w:sz="4" w:space="0" w:color="auto"/>
              <w:left w:val="single" w:sz="4" w:space="0" w:color="auto"/>
              <w:bottom w:val="single" w:sz="4" w:space="0" w:color="auto"/>
              <w:right w:val="single" w:sz="4" w:space="0" w:color="auto"/>
            </w:tcBorders>
            <w:vAlign w:val="center"/>
          </w:tcPr>
          <w:p w14:paraId="68736017"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4.3%</w:t>
            </w:r>
          </w:p>
        </w:tc>
        <w:tc>
          <w:tcPr>
            <w:tcW w:w="709" w:type="dxa"/>
            <w:vAlign w:val="center"/>
          </w:tcPr>
          <w:p w14:paraId="2D3A4B97"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6.9%</w:t>
            </w:r>
          </w:p>
        </w:tc>
      </w:tr>
      <w:tr w:rsidR="00A87A85" w:rsidRPr="008333E6" w14:paraId="1BBF7EF3" w14:textId="77777777" w:rsidTr="00030298">
        <w:trPr>
          <w:gridAfter w:val="1"/>
          <w:wAfter w:w="2514" w:type="dxa"/>
        </w:trPr>
        <w:tc>
          <w:tcPr>
            <w:tcW w:w="1844" w:type="dxa"/>
            <w:tcBorders>
              <w:top w:val="single" w:sz="4" w:space="0" w:color="auto"/>
            </w:tcBorders>
            <w:vAlign w:val="center"/>
          </w:tcPr>
          <w:p w14:paraId="3BAF7A52" w14:textId="77777777" w:rsidR="00A87A85" w:rsidRPr="00003725" w:rsidRDefault="00A87A85" w:rsidP="00030298">
            <w:pPr>
              <w:spacing w:line="360" w:lineRule="auto"/>
              <w:rPr>
                <w:rFonts w:ascii="Times New Roman" w:hAnsi="Times New Roman" w:cs="Times New Roman"/>
                <w:sz w:val="20"/>
                <w:szCs w:val="20"/>
              </w:rPr>
            </w:pPr>
            <w:r w:rsidRPr="00003725">
              <w:rPr>
                <w:rFonts w:ascii="Times New Roman" w:hAnsi="Times New Roman" w:cs="Times New Roman"/>
                <w:sz w:val="20"/>
                <w:szCs w:val="20"/>
              </w:rPr>
              <w:t>Gentamicin</w:t>
            </w:r>
          </w:p>
        </w:tc>
        <w:tc>
          <w:tcPr>
            <w:tcW w:w="709" w:type="dxa"/>
            <w:tcBorders>
              <w:top w:val="single" w:sz="4" w:space="0" w:color="auto"/>
              <w:left w:val="nil"/>
              <w:bottom w:val="single" w:sz="4" w:space="0" w:color="auto"/>
              <w:right w:val="single" w:sz="4" w:space="0" w:color="auto"/>
            </w:tcBorders>
            <w:vAlign w:val="center"/>
          </w:tcPr>
          <w:p w14:paraId="55F46D8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74.5%</w:t>
            </w:r>
          </w:p>
        </w:tc>
        <w:tc>
          <w:tcPr>
            <w:tcW w:w="708" w:type="dxa"/>
            <w:tcBorders>
              <w:top w:val="single" w:sz="4" w:space="0" w:color="auto"/>
              <w:left w:val="single" w:sz="4" w:space="0" w:color="auto"/>
              <w:bottom w:val="single" w:sz="4" w:space="0" w:color="auto"/>
              <w:right w:val="single" w:sz="4" w:space="0" w:color="auto"/>
            </w:tcBorders>
            <w:vAlign w:val="center"/>
          </w:tcPr>
          <w:p w14:paraId="1D1B0121"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53.7%</w:t>
            </w:r>
          </w:p>
        </w:tc>
        <w:tc>
          <w:tcPr>
            <w:tcW w:w="709" w:type="dxa"/>
            <w:tcBorders>
              <w:top w:val="single" w:sz="4" w:space="0" w:color="auto"/>
              <w:left w:val="single" w:sz="4" w:space="0" w:color="auto"/>
              <w:bottom w:val="single" w:sz="4" w:space="0" w:color="auto"/>
              <w:right w:val="single" w:sz="4" w:space="0" w:color="auto"/>
            </w:tcBorders>
            <w:vAlign w:val="center"/>
          </w:tcPr>
          <w:p w14:paraId="30071918"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47.2%</w:t>
            </w:r>
          </w:p>
        </w:tc>
        <w:tc>
          <w:tcPr>
            <w:tcW w:w="709" w:type="dxa"/>
            <w:tcBorders>
              <w:top w:val="single" w:sz="4" w:space="0" w:color="auto"/>
              <w:left w:val="single" w:sz="4" w:space="0" w:color="auto"/>
              <w:bottom w:val="single" w:sz="4" w:space="0" w:color="auto"/>
              <w:right w:val="single" w:sz="4" w:space="0" w:color="auto"/>
            </w:tcBorders>
            <w:vAlign w:val="center"/>
          </w:tcPr>
          <w:p w14:paraId="1B5A79D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54.5%</w:t>
            </w:r>
          </w:p>
        </w:tc>
        <w:tc>
          <w:tcPr>
            <w:tcW w:w="709" w:type="dxa"/>
            <w:tcBorders>
              <w:top w:val="single" w:sz="4" w:space="0" w:color="auto"/>
              <w:left w:val="single" w:sz="4" w:space="0" w:color="auto"/>
              <w:bottom w:val="single" w:sz="4" w:space="0" w:color="auto"/>
              <w:right w:val="single" w:sz="4" w:space="0" w:color="auto"/>
            </w:tcBorders>
            <w:vAlign w:val="center"/>
          </w:tcPr>
          <w:p w14:paraId="7901424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51.9%</w:t>
            </w:r>
          </w:p>
        </w:tc>
        <w:tc>
          <w:tcPr>
            <w:tcW w:w="708" w:type="dxa"/>
            <w:tcBorders>
              <w:top w:val="single" w:sz="4" w:space="0" w:color="auto"/>
              <w:left w:val="single" w:sz="4" w:space="0" w:color="auto"/>
              <w:bottom w:val="single" w:sz="4" w:space="0" w:color="auto"/>
              <w:right w:val="single" w:sz="4" w:space="0" w:color="auto"/>
            </w:tcBorders>
            <w:vAlign w:val="center"/>
          </w:tcPr>
          <w:p w14:paraId="4058DD2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56.4%</w:t>
            </w:r>
          </w:p>
        </w:tc>
        <w:tc>
          <w:tcPr>
            <w:tcW w:w="709" w:type="dxa"/>
            <w:tcBorders>
              <w:top w:val="single" w:sz="4" w:space="0" w:color="auto"/>
              <w:left w:val="single" w:sz="4" w:space="0" w:color="auto"/>
              <w:bottom w:val="single" w:sz="4" w:space="0" w:color="auto"/>
              <w:right w:val="single" w:sz="4" w:space="0" w:color="auto"/>
            </w:tcBorders>
            <w:vAlign w:val="center"/>
          </w:tcPr>
          <w:p w14:paraId="2C294470"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38.5%</w:t>
            </w:r>
          </w:p>
        </w:tc>
        <w:tc>
          <w:tcPr>
            <w:tcW w:w="709" w:type="dxa"/>
            <w:tcBorders>
              <w:top w:val="single" w:sz="4" w:space="0" w:color="auto"/>
              <w:left w:val="single" w:sz="4" w:space="0" w:color="auto"/>
              <w:bottom w:val="single" w:sz="4" w:space="0" w:color="auto"/>
              <w:right w:val="single" w:sz="4" w:space="0" w:color="auto"/>
            </w:tcBorders>
            <w:vAlign w:val="center"/>
          </w:tcPr>
          <w:p w14:paraId="46334EA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49.5%</w:t>
            </w:r>
          </w:p>
        </w:tc>
        <w:tc>
          <w:tcPr>
            <w:tcW w:w="709" w:type="dxa"/>
            <w:tcBorders>
              <w:top w:val="single" w:sz="4" w:space="0" w:color="auto"/>
              <w:left w:val="single" w:sz="4" w:space="0" w:color="auto"/>
              <w:bottom w:val="single" w:sz="4" w:space="0" w:color="auto"/>
              <w:right w:val="single" w:sz="4" w:space="0" w:color="auto"/>
            </w:tcBorders>
            <w:vAlign w:val="center"/>
          </w:tcPr>
          <w:p w14:paraId="395D784B"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50.0%</w:t>
            </w:r>
          </w:p>
        </w:tc>
        <w:tc>
          <w:tcPr>
            <w:tcW w:w="709" w:type="dxa"/>
            <w:vAlign w:val="center"/>
          </w:tcPr>
          <w:p w14:paraId="51DCB959" w14:textId="77777777" w:rsidR="00A87A85" w:rsidRPr="00003725" w:rsidRDefault="00A87A85" w:rsidP="00030298">
            <w:pPr>
              <w:spacing w:line="360" w:lineRule="auto"/>
              <w:rPr>
                <w:rFonts w:ascii="Times New Roman" w:hAnsi="Times New Roman" w:cs="Times New Roman"/>
                <w:sz w:val="18"/>
                <w:szCs w:val="18"/>
              </w:rPr>
            </w:pPr>
            <w:r w:rsidRPr="00003725">
              <w:rPr>
                <w:rFonts w:ascii="Times New Roman" w:hAnsi="Times New Roman" w:cs="Times New Roman"/>
                <w:sz w:val="18"/>
                <w:szCs w:val="18"/>
              </w:rPr>
              <w:t>53.0%</w:t>
            </w:r>
          </w:p>
        </w:tc>
      </w:tr>
      <w:tr w:rsidR="00A87A85" w:rsidRPr="008333E6" w14:paraId="733EC2CE"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1C75EE2C"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β-Lactams (</w:t>
            </w:r>
            <w:proofErr w:type="spellStart"/>
            <w:r w:rsidRPr="00003725">
              <w:rPr>
                <w:rFonts w:ascii="Times New Roman" w:hAnsi="Times New Roman" w:cs="Times New Roman"/>
                <w:sz w:val="20"/>
                <w:szCs w:val="21"/>
              </w:rPr>
              <w:t>Penicillins</w:t>
            </w:r>
            <w:proofErr w:type="spellEnd"/>
            <w:r w:rsidRPr="00003725">
              <w:rPr>
                <w:rFonts w:ascii="Times New Roman" w:hAnsi="Times New Roman" w:cs="Times New Roman"/>
                <w:sz w:val="20"/>
                <w:szCs w:val="21"/>
              </w:rPr>
              <w:t>)</w:t>
            </w:r>
          </w:p>
        </w:tc>
      </w:tr>
      <w:tr w:rsidR="00A87A85" w:rsidRPr="008333E6" w14:paraId="392E2838" w14:textId="77777777" w:rsidTr="00030298">
        <w:tc>
          <w:tcPr>
            <w:tcW w:w="1844" w:type="dxa"/>
            <w:tcBorders>
              <w:top w:val="single" w:sz="4" w:space="0" w:color="auto"/>
            </w:tcBorders>
            <w:vAlign w:val="center"/>
          </w:tcPr>
          <w:p w14:paraId="49C45B36"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Ampicillin</w:t>
            </w:r>
          </w:p>
        </w:tc>
        <w:tc>
          <w:tcPr>
            <w:tcW w:w="709" w:type="dxa"/>
            <w:tcBorders>
              <w:top w:val="single" w:sz="4" w:space="0" w:color="auto"/>
              <w:left w:val="nil"/>
              <w:bottom w:val="single" w:sz="4" w:space="0" w:color="auto"/>
              <w:right w:val="single" w:sz="4" w:space="0" w:color="auto"/>
            </w:tcBorders>
            <w:vAlign w:val="center"/>
          </w:tcPr>
          <w:p w14:paraId="0CEC028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86.3%</w:t>
            </w:r>
          </w:p>
        </w:tc>
        <w:tc>
          <w:tcPr>
            <w:tcW w:w="708" w:type="dxa"/>
            <w:tcBorders>
              <w:top w:val="single" w:sz="4" w:space="0" w:color="auto"/>
              <w:left w:val="single" w:sz="4" w:space="0" w:color="auto"/>
              <w:bottom w:val="single" w:sz="4" w:space="0" w:color="auto"/>
              <w:right w:val="single" w:sz="4" w:space="0" w:color="auto"/>
            </w:tcBorders>
            <w:vAlign w:val="center"/>
          </w:tcPr>
          <w:p w14:paraId="552AD68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86.6%</w:t>
            </w:r>
          </w:p>
        </w:tc>
        <w:tc>
          <w:tcPr>
            <w:tcW w:w="709" w:type="dxa"/>
            <w:tcBorders>
              <w:top w:val="single" w:sz="4" w:space="0" w:color="auto"/>
              <w:left w:val="single" w:sz="4" w:space="0" w:color="auto"/>
              <w:bottom w:val="single" w:sz="4" w:space="0" w:color="auto"/>
              <w:right w:val="single" w:sz="4" w:space="0" w:color="auto"/>
            </w:tcBorders>
            <w:vAlign w:val="center"/>
          </w:tcPr>
          <w:p w14:paraId="6775DEAC"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84.7%</w:t>
            </w:r>
          </w:p>
        </w:tc>
        <w:tc>
          <w:tcPr>
            <w:tcW w:w="709" w:type="dxa"/>
            <w:tcBorders>
              <w:top w:val="single" w:sz="4" w:space="0" w:color="auto"/>
              <w:left w:val="single" w:sz="4" w:space="0" w:color="auto"/>
              <w:bottom w:val="single" w:sz="4" w:space="0" w:color="auto"/>
              <w:right w:val="single" w:sz="4" w:space="0" w:color="auto"/>
            </w:tcBorders>
            <w:vAlign w:val="center"/>
          </w:tcPr>
          <w:p w14:paraId="2FEC6B90"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84.8%</w:t>
            </w:r>
          </w:p>
        </w:tc>
        <w:tc>
          <w:tcPr>
            <w:tcW w:w="709" w:type="dxa"/>
            <w:tcBorders>
              <w:top w:val="single" w:sz="4" w:space="0" w:color="auto"/>
              <w:left w:val="single" w:sz="4" w:space="0" w:color="auto"/>
              <w:bottom w:val="single" w:sz="4" w:space="0" w:color="auto"/>
              <w:right w:val="single" w:sz="4" w:space="0" w:color="auto"/>
            </w:tcBorders>
            <w:vAlign w:val="center"/>
          </w:tcPr>
          <w:p w14:paraId="1BE74F8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82.5%</w:t>
            </w:r>
          </w:p>
        </w:tc>
        <w:tc>
          <w:tcPr>
            <w:tcW w:w="708" w:type="dxa"/>
            <w:tcBorders>
              <w:top w:val="single" w:sz="4" w:space="0" w:color="auto"/>
              <w:left w:val="single" w:sz="4" w:space="0" w:color="auto"/>
              <w:bottom w:val="single" w:sz="4" w:space="0" w:color="auto"/>
              <w:right w:val="single" w:sz="4" w:space="0" w:color="auto"/>
            </w:tcBorders>
            <w:vAlign w:val="center"/>
          </w:tcPr>
          <w:p w14:paraId="13E39EB4"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92.7%</w:t>
            </w:r>
          </w:p>
        </w:tc>
        <w:tc>
          <w:tcPr>
            <w:tcW w:w="709" w:type="dxa"/>
            <w:tcBorders>
              <w:top w:val="single" w:sz="4" w:space="0" w:color="auto"/>
              <w:left w:val="single" w:sz="4" w:space="0" w:color="auto"/>
              <w:bottom w:val="single" w:sz="4" w:space="0" w:color="auto"/>
              <w:right w:val="single" w:sz="4" w:space="0" w:color="auto"/>
            </w:tcBorders>
            <w:vAlign w:val="center"/>
          </w:tcPr>
          <w:p w14:paraId="1E4C2800"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96.2%</w:t>
            </w:r>
          </w:p>
        </w:tc>
        <w:tc>
          <w:tcPr>
            <w:tcW w:w="709" w:type="dxa"/>
            <w:tcBorders>
              <w:top w:val="single" w:sz="4" w:space="0" w:color="auto"/>
              <w:left w:val="single" w:sz="4" w:space="0" w:color="auto"/>
              <w:bottom w:val="single" w:sz="4" w:space="0" w:color="auto"/>
              <w:right w:val="single" w:sz="4" w:space="0" w:color="auto"/>
            </w:tcBorders>
            <w:vAlign w:val="center"/>
          </w:tcPr>
          <w:p w14:paraId="6AA73BD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87.2%</w:t>
            </w:r>
          </w:p>
        </w:tc>
        <w:tc>
          <w:tcPr>
            <w:tcW w:w="709" w:type="dxa"/>
            <w:tcBorders>
              <w:top w:val="single" w:sz="4" w:space="0" w:color="auto"/>
              <w:left w:val="single" w:sz="4" w:space="0" w:color="auto"/>
              <w:bottom w:val="single" w:sz="4" w:space="0" w:color="auto"/>
              <w:right w:val="single" w:sz="4" w:space="0" w:color="auto"/>
            </w:tcBorders>
            <w:vAlign w:val="center"/>
          </w:tcPr>
          <w:p w14:paraId="2CAFE85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91.3%</w:t>
            </w:r>
          </w:p>
        </w:tc>
        <w:tc>
          <w:tcPr>
            <w:tcW w:w="709" w:type="dxa"/>
            <w:vAlign w:val="center"/>
          </w:tcPr>
          <w:p w14:paraId="7371631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87.2%</w:t>
            </w:r>
          </w:p>
        </w:tc>
        <w:tc>
          <w:tcPr>
            <w:tcW w:w="2514" w:type="dxa"/>
            <w:tcBorders>
              <w:top w:val="nil"/>
              <w:left w:val="single" w:sz="4" w:space="0" w:color="auto"/>
              <w:bottom w:val="nil"/>
              <w:right w:val="nil"/>
            </w:tcBorders>
            <w:vAlign w:val="center"/>
          </w:tcPr>
          <w:p w14:paraId="5FF445FF" w14:textId="77777777" w:rsidR="00A87A85" w:rsidRPr="008333E6" w:rsidRDefault="00A87A85" w:rsidP="00030298">
            <w:pPr>
              <w:widowControl/>
              <w:spacing w:line="480" w:lineRule="auto"/>
              <w:rPr>
                <w:rFonts w:ascii="Times New Roman" w:hAnsi="Times New Roman" w:cs="Times New Roman"/>
              </w:rPr>
            </w:pPr>
          </w:p>
        </w:tc>
      </w:tr>
      <w:tr w:rsidR="00A87A85" w:rsidRPr="008333E6" w14:paraId="6A8B21D2"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3AC9CB5A"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β-</w:t>
            </w:r>
            <w:proofErr w:type="gramStart"/>
            <w:r w:rsidRPr="00003725">
              <w:rPr>
                <w:rFonts w:ascii="Times New Roman" w:hAnsi="Times New Roman" w:cs="Times New Roman"/>
                <w:sz w:val="20"/>
                <w:szCs w:val="21"/>
              </w:rPr>
              <w:t>Lactams  (</w:t>
            </w:r>
            <w:proofErr w:type="gramEnd"/>
            <w:r w:rsidRPr="00003725">
              <w:rPr>
                <w:rFonts w:ascii="Times New Roman" w:hAnsi="Times New Roman" w:cs="Times New Roman"/>
                <w:sz w:val="20"/>
                <w:szCs w:val="21"/>
              </w:rPr>
              <w:t>Cephalosporins)</w:t>
            </w:r>
          </w:p>
        </w:tc>
      </w:tr>
      <w:tr w:rsidR="00A87A85" w:rsidRPr="008333E6" w14:paraId="4E44E730" w14:textId="77777777" w:rsidTr="00030298">
        <w:trPr>
          <w:gridAfter w:val="1"/>
          <w:wAfter w:w="2514" w:type="dxa"/>
        </w:trPr>
        <w:tc>
          <w:tcPr>
            <w:tcW w:w="1844" w:type="dxa"/>
            <w:vAlign w:val="center"/>
          </w:tcPr>
          <w:p w14:paraId="769D653B"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Cefotaxime</w:t>
            </w:r>
          </w:p>
        </w:tc>
        <w:tc>
          <w:tcPr>
            <w:tcW w:w="709" w:type="dxa"/>
            <w:tcBorders>
              <w:top w:val="single" w:sz="4" w:space="0" w:color="auto"/>
              <w:left w:val="nil"/>
              <w:bottom w:val="single" w:sz="4" w:space="0" w:color="auto"/>
              <w:right w:val="single" w:sz="4" w:space="0" w:color="auto"/>
            </w:tcBorders>
            <w:vAlign w:val="center"/>
          </w:tcPr>
          <w:p w14:paraId="0F417083"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60.8%</w:t>
            </w:r>
          </w:p>
        </w:tc>
        <w:tc>
          <w:tcPr>
            <w:tcW w:w="708" w:type="dxa"/>
            <w:tcBorders>
              <w:top w:val="single" w:sz="4" w:space="0" w:color="auto"/>
              <w:left w:val="single" w:sz="4" w:space="0" w:color="auto"/>
              <w:bottom w:val="single" w:sz="4" w:space="0" w:color="auto"/>
              <w:right w:val="single" w:sz="4" w:space="0" w:color="auto"/>
            </w:tcBorders>
            <w:vAlign w:val="center"/>
          </w:tcPr>
          <w:p w14:paraId="5C86109A"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61.0%</w:t>
            </w:r>
          </w:p>
        </w:tc>
        <w:tc>
          <w:tcPr>
            <w:tcW w:w="709" w:type="dxa"/>
            <w:tcBorders>
              <w:top w:val="single" w:sz="4" w:space="0" w:color="auto"/>
              <w:left w:val="single" w:sz="4" w:space="0" w:color="auto"/>
              <w:bottom w:val="single" w:sz="4" w:space="0" w:color="auto"/>
              <w:right w:val="single" w:sz="4" w:space="0" w:color="auto"/>
            </w:tcBorders>
            <w:vAlign w:val="center"/>
          </w:tcPr>
          <w:p w14:paraId="1E37DAE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50.0%</w:t>
            </w:r>
          </w:p>
        </w:tc>
        <w:tc>
          <w:tcPr>
            <w:tcW w:w="709" w:type="dxa"/>
            <w:tcBorders>
              <w:top w:val="single" w:sz="4" w:space="0" w:color="auto"/>
              <w:left w:val="single" w:sz="4" w:space="0" w:color="auto"/>
              <w:bottom w:val="single" w:sz="4" w:space="0" w:color="auto"/>
              <w:right w:val="single" w:sz="4" w:space="0" w:color="auto"/>
            </w:tcBorders>
            <w:vAlign w:val="center"/>
          </w:tcPr>
          <w:p w14:paraId="5FD6C762"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47.0%</w:t>
            </w:r>
          </w:p>
        </w:tc>
        <w:tc>
          <w:tcPr>
            <w:tcW w:w="709" w:type="dxa"/>
            <w:tcBorders>
              <w:top w:val="single" w:sz="4" w:space="0" w:color="auto"/>
              <w:left w:val="single" w:sz="4" w:space="0" w:color="auto"/>
              <w:bottom w:val="single" w:sz="4" w:space="0" w:color="auto"/>
              <w:right w:val="single" w:sz="4" w:space="0" w:color="auto"/>
            </w:tcBorders>
            <w:vAlign w:val="center"/>
          </w:tcPr>
          <w:p w14:paraId="4DABDC28"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42.5%</w:t>
            </w:r>
          </w:p>
        </w:tc>
        <w:tc>
          <w:tcPr>
            <w:tcW w:w="708" w:type="dxa"/>
            <w:tcBorders>
              <w:top w:val="single" w:sz="4" w:space="0" w:color="auto"/>
              <w:left w:val="single" w:sz="4" w:space="0" w:color="auto"/>
              <w:bottom w:val="single" w:sz="4" w:space="0" w:color="auto"/>
              <w:right w:val="single" w:sz="4" w:space="0" w:color="auto"/>
            </w:tcBorders>
            <w:vAlign w:val="center"/>
          </w:tcPr>
          <w:p w14:paraId="5529D76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58.2%</w:t>
            </w:r>
          </w:p>
        </w:tc>
        <w:tc>
          <w:tcPr>
            <w:tcW w:w="709" w:type="dxa"/>
            <w:tcBorders>
              <w:top w:val="single" w:sz="4" w:space="0" w:color="auto"/>
              <w:left w:val="single" w:sz="4" w:space="0" w:color="auto"/>
              <w:bottom w:val="single" w:sz="4" w:space="0" w:color="auto"/>
              <w:right w:val="single" w:sz="4" w:space="0" w:color="auto"/>
            </w:tcBorders>
            <w:vAlign w:val="center"/>
          </w:tcPr>
          <w:p w14:paraId="41396156"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73.1%</w:t>
            </w:r>
          </w:p>
        </w:tc>
        <w:tc>
          <w:tcPr>
            <w:tcW w:w="709" w:type="dxa"/>
            <w:tcBorders>
              <w:top w:val="single" w:sz="4" w:space="0" w:color="auto"/>
              <w:left w:val="single" w:sz="4" w:space="0" w:color="auto"/>
              <w:bottom w:val="single" w:sz="4" w:space="0" w:color="auto"/>
              <w:right w:val="single" w:sz="4" w:space="0" w:color="auto"/>
            </w:tcBorders>
            <w:vAlign w:val="center"/>
          </w:tcPr>
          <w:p w14:paraId="5157EEB1"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53.8%</w:t>
            </w:r>
          </w:p>
        </w:tc>
        <w:tc>
          <w:tcPr>
            <w:tcW w:w="709" w:type="dxa"/>
            <w:tcBorders>
              <w:top w:val="single" w:sz="4" w:space="0" w:color="auto"/>
              <w:left w:val="single" w:sz="4" w:space="0" w:color="auto"/>
              <w:bottom w:val="single" w:sz="4" w:space="0" w:color="auto"/>
              <w:right w:val="single" w:sz="4" w:space="0" w:color="auto"/>
            </w:tcBorders>
            <w:vAlign w:val="center"/>
          </w:tcPr>
          <w:p w14:paraId="356CDCF6"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48.6%</w:t>
            </w:r>
          </w:p>
        </w:tc>
        <w:tc>
          <w:tcPr>
            <w:tcW w:w="709" w:type="dxa"/>
            <w:vAlign w:val="center"/>
          </w:tcPr>
          <w:p w14:paraId="2C6588FC"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53.1%</w:t>
            </w:r>
          </w:p>
        </w:tc>
      </w:tr>
      <w:tr w:rsidR="00A87A85" w:rsidRPr="008333E6" w14:paraId="4512D804" w14:textId="77777777" w:rsidTr="00030298">
        <w:trPr>
          <w:gridAfter w:val="1"/>
          <w:wAfter w:w="2514" w:type="dxa"/>
        </w:trPr>
        <w:tc>
          <w:tcPr>
            <w:tcW w:w="1844" w:type="dxa"/>
            <w:vAlign w:val="center"/>
          </w:tcPr>
          <w:p w14:paraId="44660CC1"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Ceftazidime</w:t>
            </w:r>
          </w:p>
        </w:tc>
        <w:tc>
          <w:tcPr>
            <w:tcW w:w="709" w:type="dxa"/>
            <w:tcBorders>
              <w:top w:val="single" w:sz="4" w:space="0" w:color="auto"/>
              <w:left w:val="nil"/>
              <w:bottom w:val="single" w:sz="4" w:space="0" w:color="auto"/>
              <w:right w:val="single" w:sz="4" w:space="0" w:color="auto"/>
            </w:tcBorders>
            <w:vAlign w:val="center"/>
          </w:tcPr>
          <w:p w14:paraId="1A042CAB"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51.0%</w:t>
            </w:r>
          </w:p>
        </w:tc>
        <w:tc>
          <w:tcPr>
            <w:tcW w:w="708" w:type="dxa"/>
            <w:tcBorders>
              <w:top w:val="single" w:sz="4" w:space="0" w:color="auto"/>
              <w:left w:val="single" w:sz="4" w:space="0" w:color="auto"/>
              <w:bottom w:val="single" w:sz="4" w:space="0" w:color="auto"/>
              <w:right w:val="single" w:sz="4" w:space="0" w:color="auto"/>
            </w:tcBorders>
            <w:vAlign w:val="center"/>
          </w:tcPr>
          <w:p w14:paraId="2D326CD2"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32.8%</w:t>
            </w:r>
          </w:p>
        </w:tc>
        <w:tc>
          <w:tcPr>
            <w:tcW w:w="709" w:type="dxa"/>
            <w:tcBorders>
              <w:top w:val="single" w:sz="4" w:space="0" w:color="auto"/>
              <w:left w:val="single" w:sz="4" w:space="0" w:color="auto"/>
              <w:bottom w:val="single" w:sz="4" w:space="0" w:color="auto"/>
              <w:right w:val="single" w:sz="4" w:space="0" w:color="auto"/>
            </w:tcBorders>
            <w:vAlign w:val="center"/>
          </w:tcPr>
          <w:p w14:paraId="02857FD2"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47.8%</w:t>
            </w:r>
          </w:p>
        </w:tc>
        <w:tc>
          <w:tcPr>
            <w:tcW w:w="709" w:type="dxa"/>
            <w:tcBorders>
              <w:top w:val="single" w:sz="4" w:space="0" w:color="auto"/>
              <w:left w:val="single" w:sz="4" w:space="0" w:color="auto"/>
              <w:bottom w:val="single" w:sz="4" w:space="0" w:color="auto"/>
              <w:right w:val="single" w:sz="4" w:space="0" w:color="auto"/>
            </w:tcBorders>
            <w:vAlign w:val="center"/>
          </w:tcPr>
          <w:p w14:paraId="5685525C"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44.4%</w:t>
            </w:r>
          </w:p>
        </w:tc>
        <w:tc>
          <w:tcPr>
            <w:tcW w:w="709" w:type="dxa"/>
            <w:tcBorders>
              <w:top w:val="single" w:sz="4" w:space="0" w:color="auto"/>
              <w:left w:val="single" w:sz="4" w:space="0" w:color="auto"/>
              <w:bottom w:val="single" w:sz="4" w:space="0" w:color="auto"/>
              <w:right w:val="single" w:sz="4" w:space="0" w:color="auto"/>
            </w:tcBorders>
            <w:vAlign w:val="center"/>
          </w:tcPr>
          <w:p w14:paraId="53B580AB"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37.5%</w:t>
            </w:r>
          </w:p>
        </w:tc>
        <w:tc>
          <w:tcPr>
            <w:tcW w:w="708" w:type="dxa"/>
            <w:tcBorders>
              <w:top w:val="single" w:sz="4" w:space="0" w:color="auto"/>
              <w:left w:val="single" w:sz="4" w:space="0" w:color="auto"/>
              <w:bottom w:val="single" w:sz="4" w:space="0" w:color="auto"/>
              <w:right w:val="single" w:sz="4" w:space="0" w:color="auto"/>
            </w:tcBorders>
            <w:vAlign w:val="center"/>
          </w:tcPr>
          <w:p w14:paraId="75160A84"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45.5%</w:t>
            </w:r>
          </w:p>
        </w:tc>
        <w:tc>
          <w:tcPr>
            <w:tcW w:w="709" w:type="dxa"/>
            <w:tcBorders>
              <w:top w:val="single" w:sz="4" w:space="0" w:color="auto"/>
              <w:left w:val="single" w:sz="4" w:space="0" w:color="auto"/>
              <w:bottom w:val="single" w:sz="4" w:space="0" w:color="auto"/>
              <w:right w:val="single" w:sz="4" w:space="0" w:color="auto"/>
            </w:tcBorders>
            <w:vAlign w:val="center"/>
          </w:tcPr>
          <w:p w14:paraId="699E677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69.2%</w:t>
            </w:r>
          </w:p>
        </w:tc>
        <w:tc>
          <w:tcPr>
            <w:tcW w:w="709" w:type="dxa"/>
            <w:tcBorders>
              <w:top w:val="single" w:sz="4" w:space="0" w:color="auto"/>
              <w:left w:val="single" w:sz="4" w:space="0" w:color="auto"/>
              <w:bottom w:val="single" w:sz="4" w:space="0" w:color="auto"/>
              <w:right w:val="single" w:sz="4" w:space="0" w:color="auto"/>
            </w:tcBorders>
            <w:vAlign w:val="center"/>
          </w:tcPr>
          <w:p w14:paraId="7CF3D6E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46.2%</w:t>
            </w:r>
          </w:p>
        </w:tc>
        <w:tc>
          <w:tcPr>
            <w:tcW w:w="709" w:type="dxa"/>
            <w:tcBorders>
              <w:top w:val="single" w:sz="4" w:space="0" w:color="auto"/>
              <w:left w:val="single" w:sz="4" w:space="0" w:color="auto"/>
              <w:bottom w:val="single" w:sz="4" w:space="0" w:color="auto"/>
              <w:right w:val="single" w:sz="4" w:space="0" w:color="auto"/>
            </w:tcBorders>
            <w:vAlign w:val="center"/>
          </w:tcPr>
          <w:p w14:paraId="31896A1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44.3%</w:t>
            </w:r>
          </w:p>
        </w:tc>
        <w:tc>
          <w:tcPr>
            <w:tcW w:w="709" w:type="dxa"/>
            <w:vAlign w:val="center"/>
          </w:tcPr>
          <w:p w14:paraId="7FB7B11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44.6%</w:t>
            </w:r>
          </w:p>
        </w:tc>
      </w:tr>
      <w:tr w:rsidR="00A87A85" w:rsidRPr="008333E6" w14:paraId="396D83A5" w14:textId="77777777" w:rsidTr="00030298">
        <w:trPr>
          <w:gridAfter w:val="1"/>
          <w:wAfter w:w="2514" w:type="dxa"/>
        </w:trPr>
        <w:tc>
          <w:tcPr>
            <w:tcW w:w="8932" w:type="dxa"/>
            <w:gridSpan w:val="11"/>
            <w:tcBorders>
              <w:bottom w:val="single" w:sz="4" w:space="0" w:color="auto"/>
            </w:tcBorders>
            <w:shd w:val="clear" w:color="auto" w:fill="D9D9D9" w:themeFill="background1" w:themeFillShade="D9"/>
            <w:vAlign w:val="center"/>
          </w:tcPr>
          <w:p w14:paraId="7EF5DEB3" w14:textId="77777777" w:rsidR="00A87A85" w:rsidRPr="008333E6" w:rsidRDefault="00A87A85" w:rsidP="00030298">
            <w:pPr>
              <w:spacing w:line="360" w:lineRule="auto"/>
              <w:rPr>
                <w:rFonts w:ascii="Times New Roman" w:hAnsi="Times New Roman" w:cs="Times New Roman"/>
              </w:rPr>
            </w:pPr>
            <w:r w:rsidRPr="00003725">
              <w:rPr>
                <w:rFonts w:ascii="Times New Roman" w:hAnsi="Times New Roman" w:cs="Times New Roman"/>
                <w:sz w:val="20"/>
                <w:szCs w:val="21"/>
              </w:rPr>
              <w:t>β-Lactams (Carbapenems)</w:t>
            </w:r>
          </w:p>
        </w:tc>
      </w:tr>
      <w:tr w:rsidR="00A87A85" w:rsidRPr="008333E6" w14:paraId="165574C2"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39602C48"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Meropenem</w:t>
            </w:r>
          </w:p>
        </w:tc>
        <w:tc>
          <w:tcPr>
            <w:tcW w:w="709" w:type="dxa"/>
            <w:tcBorders>
              <w:top w:val="single" w:sz="4" w:space="0" w:color="auto"/>
              <w:left w:val="single" w:sz="4" w:space="0" w:color="auto"/>
              <w:bottom w:val="single" w:sz="4" w:space="0" w:color="auto"/>
              <w:right w:val="single" w:sz="4" w:space="0" w:color="auto"/>
            </w:tcBorders>
            <w:vAlign w:val="center"/>
          </w:tcPr>
          <w:p w14:paraId="398F89B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52A411B8"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7B48958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1.4%</w:t>
            </w:r>
          </w:p>
        </w:tc>
        <w:tc>
          <w:tcPr>
            <w:tcW w:w="709" w:type="dxa"/>
            <w:tcBorders>
              <w:top w:val="single" w:sz="4" w:space="0" w:color="auto"/>
              <w:left w:val="single" w:sz="4" w:space="0" w:color="auto"/>
              <w:bottom w:val="single" w:sz="4" w:space="0" w:color="auto"/>
              <w:right w:val="single" w:sz="4" w:space="0" w:color="auto"/>
            </w:tcBorders>
            <w:vAlign w:val="center"/>
          </w:tcPr>
          <w:p w14:paraId="2A9E875C"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14:paraId="1EBBAA5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2.5%</w:t>
            </w:r>
          </w:p>
        </w:tc>
        <w:tc>
          <w:tcPr>
            <w:tcW w:w="708" w:type="dxa"/>
            <w:tcBorders>
              <w:top w:val="single" w:sz="4" w:space="0" w:color="auto"/>
              <w:left w:val="single" w:sz="4" w:space="0" w:color="auto"/>
              <w:bottom w:val="single" w:sz="4" w:space="0" w:color="auto"/>
              <w:right w:val="single" w:sz="4" w:space="0" w:color="auto"/>
            </w:tcBorders>
            <w:vAlign w:val="center"/>
          </w:tcPr>
          <w:p w14:paraId="208398B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7387542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29B4B05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13DEC936"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5.7%</w:t>
            </w:r>
          </w:p>
        </w:tc>
        <w:tc>
          <w:tcPr>
            <w:tcW w:w="709" w:type="dxa"/>
            <w:vAlign w:val="center"/>
          </w:tcPr>
          <w:p w14:paraId="64D9E5E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2.9%</w:t>
            </w:r>
          </w:p>
        </w:tc>
      </w:tr>
      <w:tr w:rsidR="00A87A85" w:rsidRPr="008333E6" w14:paraId="74F3E450"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676D05E6"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Imipenem</w:t>
            </w:r>
          </w:p>
        </w:tc>
        <w:tc>
          <w:tcPr>
            <w:tcW w:w="709" w:type="dxa"/>
            <w:tcBorders>
              <w:top w:val="single" w:sz="4" w:space="0" w:color="auto"/>
              <w:left w:val="single" w:sz="4" w:space="0" w:color="auto"/>
              <w:bottom w:val="single" w:sz="4" w:space="0" w:color="auto"/>
              <w:right w:val="single" w:sz="4" w:space="0" w:color="auto"/>
            </w:tcBorders>
            <w:vAlign w:val="center"/>
          </w:tcPr>
          <w:p w14:paraId="5C883713"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70B5AAAB"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04614900"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233A479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14:paraId="0DDA17D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2.5%</w:t>
            </w:r>
          </w:p>
        </w:tc>
        <w:tc>
          <w:tcPr>
            <w:tcW w:w="708" w:type="dxa"/>
            <w:tcBorders>
              <w:top w:val="single" w:sz="4" w:space="0" w:color="auto"/>
              <w:left w:val="single" w:sz="4" w:space="0" w:color="auto"/>
              <w:bottom w:val="single" w:sz="4" w:space="0" w:color="auto"/>
              <w:right w:val="single" w:sz="4" w:space="0" w:color="auto"/>
            </w:tcBorders>
            <w:vAlign w:val="center"/>
          </w:tcPr>
          <w:p w14:paraId="02D2849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6134EEF1"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46BF70D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5.5%</w:t>
            </w:r>
          </w:p>
        </w:tc>
        <w:tc>
          <w:tcPr>
            <w:tcW w:w="709" w:type="dxa"/>
            <w:tcBorders>
              <w:top w:val="single" w:sz="4" w:space="0" w:color="auto"/>
              <w:left w:val="single" w:sz="4" w:space="0" w:color="auto"/>
              <w:bottom w:val="single" w:sz="4" w:space="0" w:color="auto"/>
              <w:right w:val="single" w:sz="4" w:space="0" w:color="auto"/>
            </w:tcBorders>
            <w:vAlign w:val="center"/>
          </w:tcPr>
          <w:p w14:paraId="3958B80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5.7%</w:t>
            </w:r>
          </w:p>
        </w:tc>
        <w:tc>
          <w:tcPr>
            <w:tcW w:w="709" w:type="dxa"/>
            <w:vAlign w:val="center"/>
          </w:tcPr>
          <w:p w14:paraId="1B99C3A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3.4%</w:t>
            </w:r>
          </w:p>
        </w:tc>
      </w:tr>
      <w:tr w:rsidR="00A87A85" w:rsidRPr="008333E6" w14:paraId="2423F690"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4B8ABA90" w14:textId="77777777" w:rsidR="00A87A85" w:rsidRPr="008333E6" w:rsidRDefault="00A87A85" w:rsidP="00030298">
            <w:pPr>
              <w:spacing w:line="360" w:lineRule="auto"/>
              <w:rPr>
                <w:rFonts w:ascii="Times New Roman" w:hAnsi="Times New Roman" w:cs="Times New Roman"/>
              </w:rPr>
            </w:pPr>
            <w:r w:rsidRPr="00003725">
              <w:rPr>
                <w:rFonts w:ascii="Times New Roman" w:hAnsi="Times New Roman" w:cs="Times New Roman"/>
                <w:sz w:val="20"/>
                <w:szCs w:val="21"/>
              </w:rPr>
              <w:t>β-Lactams (Monobactams)</w:t>
            </w:r>
          </w:p>
        </w:tc>
      </w:tr>
      <w:tr w:rsidR="00A87A85" w:rsidRPr="008333E6" w14:paraId="2758EEB9" w14:textId="77777777" w:rsidTr="00030298">
        <w:trPr>
          <w:gridAfter w:val="1"/>
          <w:wAfter w:w="2514" w:type="dxa"/>
        </w:trPr>
        <w:tc>
          <w:tcPr>
            <w:tcW w:w="1844" w:type="dxa"/>
            <w:vAlign w:val="center"/>
          </w:tcPr>
          <w:p w14:paraId="12B6BA66" w14:textId="77777777" w:rsidR="00A87A85" w:rsidRPr="008333E6" w:rsidRDefault="00A87A85" w:rsidP="00030298">
            <w:pPr>
              <w:spacing w:line="360" w:lineRule="auto"/>
              <w:rPr>
                <w:rFonts w:ascii="Times New Roman" w:hAnsi="Times New Roman" w:cs="Times New Roman"/>
              </w:rPr>
            </w:pPr>
            <w:r w:rsidRPr="00003725">
              <w:rPr>
                <w:rFonts w:ascii="Times New Roman" w:hAnsi="Times New Roman" w:cs="Times New Roman"/>
                <w:sz w:val="20"/>
                <w:szCs w:val="21"/>
              </w:rPr>
              <w:t>Aztreonam</w:t>
            </w:r>
          </w:p>
        </w:tc>
        <w:tc>
          <w:tcPr>
            <w:tcW w:w="709" w:type="dxa"/>
            <w:tcBorders>
              <w:top w:val="single" w:sz="4" w:space="0" w:color="auto"/>
              <w:left w:val="nil"/>
              <w:bottom w:val="single" w:sz="4" w:space="0" w:color="auto"/>
              <w:right w:val="single" w:sz="4" w:space="0" w:color="auto"/>
            </w:tcBorders>
            <w:vAlign w:val="center"/>
          </w:tcPr>
          <w:p w14:paraId="0719847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45.1%</w:t>
            </w:r>
          </w:p>
        </w:tc>
        <w:tc>
          <w:tcPr>
            <w:tcW w:w="708" w:type="dxa"/>
            <w:tcBorders>
              <w:top w:val="single" w:sz="4" w:space="0" w:color="auto"/>
              <w:left w:val="single" w:sz="4" w:space="0" w:color="auto"/>
              <w:bottom w:val="single" w:sz="4" w:space="0" w:color="auto"/>
              <w:right w:val="single" w:sz="4" w:space="0" w:color="auto"/>
            </w:tcBorders>
            <w:vAlign w:val="center"/>
          </w:tcPr>
          <w:p w14:paraId="78FC9A68"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44.8%</w:t>
            </w:r>
          </w:p>
        </w:tc>
        <w:tc>
          <w:tcPr>
            <w:tcW w:w="709" w:type="dxa"/>
            <w:tcBorders>
              <w:top w:val="single" w:sz="4" w:space="0" w:color="auto"/>
              <w:left w:val="single" w:sz="4" w:space="0" w:color="auto"/>
              <w:bottom w:val="single" w:sz="4" w:space="0" w:color="auto"/>
              <w:right w:val="single" w:sz="4" w:space="0" w:color="auto"/>
            </w:tcBorders>
            <w:vAlign w:val="center"/>
          </w:tcPr>
          <w:p w14:paraId="0DBC704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32.9%</w:t>
            </w:r>
          </w:p>
        </w:tc>
        <w:tc>
          <w:tcPr>
            <w:tcW w:w="709" w:type="dxa"/>
            <w:tcBorders>
              <w:top w:val="single" w:sz="4" w:space="0" w:color="auto"/>
              <w:left w:val="single" w:sz="4" w:space="0" w:color="auto"/>
              <w:bottom w:val="single" w:sz="4" w:space="0" w:color="auto"/>
              <w:right w:val="single" w:sz="4" w:space="0" w:color="auto"/>
            </w:tcBorders>
            <w:vAlign w:val="center"/>
          </w:tcPr>
          <w:p w14:paraId="112D492A"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30.3%</w:t>
            </w:r>
          </w:p>
        </w:tc>
        <w:tc>
          <w:tcPr>
            <w:tcW w:w="709" w:type="dxa"/>
            <w:tcBorders>
              <w:top w:val="single" w:sz="4" w:space="0" w:color="auto"/>
              <w:left w:val="single" w:sz="4" w:space="0" w:color="auto"/>
              <w:bottom w:val="single" w:sz="4" w:space="0" w:color="auto"/>
              <w:right w:val="single" w:sz="4" w:space="0" w:color="auto"/>
            </w:tcBorders>
            <w:vAlign w:val="center"/>
          </w:tcPr>
          <w:p w14:paraId="115C8828"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32.1%</w:t>
            </w:r>
          </w:p>
        </w:tc>
        <w:tc>
          <w:tcPr>
            <w:tcW w:w="708" w:type="dxa"/>
            <w:tcBorders>
              <w:top w:val="single" w:sz="4" w:space="0" w:color="auto"/>
              <w:left w:val="single" w:sz="4" w:space="0" w:color="auto"/>
              <w:bottom w:val="single" w:sz="4" w:space="0" w:color="auto"/>
              <w:right w:val="single" w:sz="4" w:space="0" w:color="auto"/>
            </w:tcBorders>
            <w:vAlign w:val="center"/>
          </w:tcPr>
          <w:p w14:paraId="25E02D5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40.0%</w:t>
            </w:r>
          </w:p>
        </w:tc>
        <w:tc>
          <w:tcPr>
            <w:tcW w:w="709" w:type="dxa"/>
            <w:tcBorders>
              <w:top w:val="single" w:sz="4" w:space="0" w:color="auto"/>
              <w:left w:val="single" w:sz="4" w:space="0" w:color="auto"/>
              <w:bottom w:val="single" w:sz="4" w:space="0" w:color="auto"/>
              <w:right w:val="single" w:sz="4" w:space="0" w:color="auto"/>
            </w:tcBorders>
            <w:vAlign w:val="center"/>
          </w:tcPr>
          <w:p w14:paraId="24382F0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57.7%</w:t>
            </w:r>
          </w:p>
        </w:tc>
        <w:tc>
          <w:tcPr>
            <w:tcW w:w="709" w:type="dxa"/>
            <w:tcBorders>
              <w:top w:val="single" w:sz="4" w:space="0" w:color="auto"/>
              <w:left w:val="single" w:sz="4" w:space="0" w:color="auto"/>
              <w:bottom w:val="single" w:sz="4" w:space="0" w:color="auto"/>
              <w:right w:val="single" w:sz="4" w:space="0" w:color="auto"/>
            </w:tcBorders>
            <w:vAlign w:val="center"/>
          </w:tcPr>
          <w:p w14:paraId="1A712A3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50.5%</w:t>
            </w:r>
          </w:p>
        </w:tc>
        <w:tc>
          <w:tcPr>
            <w:tcW w:w="709" w:type="dxa"/>
            <w:tcBorders>
              <w:top w:val="single" w:sz="4" w:space="0" w:color="auto"/>
              <w:left w:val="single" w:sz="4" w:space="0" w:color="auto"/>
              <w:bottom w:val="single" w:sz="4" w:space="0" w:color="auto"/>
              <w:right w:val="single" w:sz="4" w:space="0" w:color="auto"/>
            </w:tcBorders>
            <w:vAlign w:val="center"/>
          </w:tcPr>
          <w:p w14:paraId="026E21F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38.6%</w:t>
            </w:r>
          </w:p>
        </w:tc>
        <w:tc>
          <w:tcPr>
            <w:tcW w:w="709" w:type="dxa"/>
            <w:vAlign w:val="center"/>
          </w:tcPr>
          <w:p w14:paraId="56196588"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40.2%</w:t>
            </w:r>
          </w:p>
        </w:tc>
      </w:tr>
      <w:tr w:rsidR="00A87A85" w:rsidRPr="008333E6" w14:paraId="1997AC08"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19CAF14C" w14:textId="77777777" w:rsidR="00A87A85" w:rsidRPr="008333E6" w:rsidRDefault="00A87A85" w:rsidP="00030298">
            <w:pPr>
              <w:spacing w:line="360" w:lineRule="auto"/>
              <w:rPr>
                <w:rFonts w:ascii="Times New Roman" w:hAnsi="Times New Roman" w:cs="Times New Roman"/>
              </w:rPr>
            </w:pPr>
            <w:r w:rsidRPr="00003725">
              <w:rPr>
                <w:rFonts w:ascii="Times New Roman" w:hAnsi="Times New Roman" w:cs="Times New Roman"/>
                <w:sz w:val="20"/>
                <w:szCs w:val="21"/>
              </w:rPr>
              <w:t>Fluoroquinolones</w:t>
            </w:r>
          </w:p>
        </w:tc>
      </w:tr>
      <w:tr w:rsidR="00A87A85" w:rsidRPr="008333E6" w14:paraId="493E1062" w14:textId="77777777" w:rsidTr="00030298">
        <w:trPr>
          <w:gridAfter w:val="1"/>
          <w:wAfter w:w="2514" w:type="dxa"/>
        </w:trPr>
        <w:tc>
          <w:tcPr>
            <w:tcW w:w="1844" w:type="dxa"/>
            <w:vAlign w:val="center"/>
          </w:tcPr>
          <w:p w14:paraId="6AAF63F4"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Ciprofloxacin</w:t>
            </w:r>
          </w:p>
        </w:tc>
        <w:tc>
          <w:tcPr>
            <w:tcW w:w="709" w:type="dxa"/>
            <w:tcBorders>
              <w:top w:val="single" w:sz="4" w:space="0" w:color="auto"/>
              <w:left w:val="nil"/>
              <w:bottom w:val="single" w:sz="4" w:space="0" w:color="auto"/>
              <w:right w:val="single" w:sz="4" w:space="0" w:color="auto"/>
            </w:tcBorders>
            <w:vAlign w:val="center"/>
          </w:tcPr>
          <w:p w14:paraId="659A788E"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72.5%</w:t>
            </w:r>
          </w:p>
        </w:tc>
        <w:tc>
          <w:tcPr>
            <w:tcW w:w="708" w:type="dxa"/>
            <w:tcBorders>
              <w:top w:val="single" w:sz="4" w:space="0" w:color="auto"/>
              <w:left w:val="single" w:sz="4" w:space="0" w:color="auto"/>
              <w:bottom w:val="single" w:sz="4" w:space="0" w:color="auto"/>
              <w:right w:val="single" w:sz="4" w:space="0" w:color="auto"/>
            </w:tcBorders>
            <w:vAlign w:val="center"/>
          </w:tcPr>
          <w:p w14:paraId="720FD58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67.9%</w:t>
            </w:r>
          </w:p>
        </w:tc>
        <w:tc>
          <w:tcPr>
            <w:tcW w:w="709" w:type="dxa"/>
            <w:tcBorders>
              <w:top w:val="single" w:sz="4" w:space="0" w:color="auto"/>
              <w:left w:val="single" w:sz="4" w:space="0" w:color="auto"/>
              <w:bottom w:val="single" w:sz="4" w:space="0" w:color="auto"/>
              <w:right w:val="single" w:sz="4" w:space="0" w:color="auto"/>
            </w:tcBorders>
            <w:vAlign w:val="center"/>
          </w:tcPr>
          <w:p w14:paraId="647F4BC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35.9%</w:t>
            </w:r>
          </w:p>
        </w:tc>
        <w:tc>
          <w:tcPr>
            <w:tcW w:w="709" w:type="dxa"/>
            <w:tcBorders>
              <w:top w:val="single" w:sz="4" w:space="0" w:color="auto"/>
              <w:left w:val="single" w:sz="4" w:space="0" w:color="auto"/>
              <w:bottom w:val="single" w:sz="4" w:space="0" w:color="auto"/>
              <w:right w:val="single" w:sz="4" w:space="0" w:color="auto"/>
            </w:tcBorders>
            <w:vAlign w:val="center"/>
          </w:tcPr>
          <w:p w14:paraId="028AB98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62.1%</w:t>
            </w:r>
          </w:p>
        </w:tc>
        <w:tc>
          <w:tcPr>
            <w:tcW w:w="709" w:type="dxa"/>
            <w:tcBorders>
              <w:top w:val="single" w:sz="4" w:space="0" w:color="auto"/>
              <w:left w:val="single" w:sz="4" w:space="0" w:color="auto"/>
              <w:bottom w:val="single" w:sz="4" w:space="0" w:color="auto"/>
              <w:right w:val="single" w:sz="4" w:space="0" w:color="auto"/>
            </w:tcBorders>
            <w:vAlign w:val="center"/>
          </w:tcPr>
          <w:p w14:paraId="1EFC5EA4"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56.8%</w:t>
            </w:r>
          </w:p>
        </w:tc>
        <w:tc>
          <w:tcPr>
            <w:tcW w:w="708" w:type="dxa"/>
            <w:tcBorders>
              <w:top w:val="single" w:sz="4" w:space="0" w:color="auto"/>
              <w:left w:val="single" w:sz="4" w:space="0" w:color="auto"/>
              <w:bottom w:val="single" w:sz="4" w:space="0" w:color="auto"/>
              <w:right w:val="single" w:sz="4" w:space="0" w:color="auto"/>
            </w:tcBorders>
            <w:vAlign w:val="center"/>
          </w:tcPr>
          <w:p w14:paraId="52C770F4"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66.7%</w:t>
            </w:r>
          </w:p>
        </w:tc>
        <w:tc>
          <w:tcPr>
            <w:tcW w:w="709" w:type="dxa"/>
            <w:tcBorders>
              <w:top w:val="single" w:sz="4" w:space="0" w:color="auto"/>
              <w:left w:val="single" w:sz="4" w:space="0" w:color="auto"/>
              <w:bottom w:val="single" w:sz="4" w:space="0" w:color="auto"/>
              <w:right w:val="single" w:sz="4" w:space="0" w:color="auto"/>
            </w:tcBorders>
            <w:vAlign w:val="center"/>
          </w:tcPr>
          <w:p w14:paraId="4845140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65.4%</w:t>
            </w:r>
          </w:p>
        </w:tc>
        <w:tc>
          <w:tcPr>
            <w:tcW w:w="709" w:type="dxa"/>
            <w:tcBorders>
              <w:top w:val="single" w:sz="4" w:space="0" w:color="auto"/>
              <w:left w:val="single" w:sz="4" w:space="0" w:color="auto"/>
              <w:bottom w:val="single" w:sz="4" w:space="0" w:color="auto"/>
              <w:right w:val="single" w:sz="4" w:space="0" w:color="auto"/>
            </w:tcBorders>
            <w:vAlign w:val="center"/>
          </w:tcPr>
          <w:p w14:paraId="1D1E7D7B"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64.8%</w:t>
            </w:r>
          </w:p>
        </w:tc>
        <w:tc>
          <w:tcPr>
            <w:tcW w:w="709" w:type="dxa"/>
            <w:tcBorders>
              <w:top w:val="single" w:sz="4" w:space="0" w:color="auto"/>
              <w:left w:val="single" w:sz="4" w:space="0" w:color="auto"/>
              <w:bottom w:val="single" w:sz="4" w:space="0" w:color="auto"/>
              <w:right w:val="single" w:sz="4" w:space="0" w:color="auto"/>
            </w:tcBorders>
            <w:vAlign w:val="center"/>
          </w:tcPr>
          <w:p w14:paraId="35C093DA"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64.3%</w:t>
            </w:r>
          </w:p>
        </w:tc>
        <w:tc>
          <w:tcPr>
            <w:tcW w:w="709" w:type="dxa"/>
            <w:vAlign w:val="center"/>
          </w:tcPr>
          <w:p w14:paraId="37F4E691"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62.3%</w:t>
            </w:r>
          </w:p>
        </w:tc>
      </w:tr>
      <w:tr w:rsidR="00A87A85" w:rsidRPr="008333E6" w14:paraId="54FBFBFF" w14:textId="77777777" w:rsidTr="00030298">
        <w:tc>
          <w:tcPr>
            <w:tcW w:w="1844" w:type="dxa"/>
            <w:tcBorders>
              <w:top w:val="single" w:sz="4" w:space="0" w:color="auto"/>
            </w:tcBorders>
            <w:vAlign w:val="center"/>
          </w:tcPr>
          <w:p w14:paraId="6D0752EB"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Levofloxacin</w:t>
            </w:r>
          </w:p>
        </w:tc>
        <w:tc>
          <w:tcPr>
            <w:tcW w:w="709" w:type="dxa"/>
            <w:tcBorders>
              <w:top w:val="single" w:sz="4" w:space="0" w:color="auto"/>
              <w:left w:val="nil"/>
              <w:bottom w:val="single" w:sz="4" w:space="0" w:color="auto"/>
              <w:right w:val="single" w:sz="4" w:space="0" w:color="auto"/>
            </w:tcBorders>
            <w:vAlign w:val="center"/>
          </w:tcPr>
          <w:p w14:paraId="4D0500F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76.5%</w:t>
            </w:r>
          </w:p>
        </w:tc>
        <w:tc>
          <w:tcPr>
            <w:tcW w:w="708" w:type="dxa"/>
            <w:tcBorders>
              <w:top w:val="single" w:sz="4" w:space="0" w:color="auto"/>
              <w:left w:val="single" w:sz="4" w:space="0" w:color="auto"/>
              <w:bottom w:val="single" w:sz="4" w:space="0" w:color="auto"/>
              <w:right w:val="single" w:sz="4" w:space="0" w:color="auto"/>
            </w:tcBorders>
            <w:vAlign w:val="center"/>
          </w:tcPr>
          <w:p w14:paraId="5403372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53.7%</w:t>
            </w:r>
          </w:p>
        </w:tc>
        <w:tc>
          <w:tcPr>
            <w:tcW w:w="709" w:type="dxa"/>
            <w:tcBorders>
              <w:top w:val="single" w:sz="4" w:space="0" w:color="auto"/>
              <w:left w:val="single" w:sz="4" w:space="0" w:color="auto"/>
              <w:bottom w:val="single" w:sz="4" w:space="0" w:color="auto"/>
              <w:right w:val="single" w:sz="4" w:space="0" w:color="auto"/>
            </w:tcBorders>
            <w:vAlign w:val="center"/>
          </w:tcPr>
          <w:p w14:paraId="1A68E10A"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38.6%</w:t>
            </w:r>
          </w:p>
        </w:tc>
        <w:tc>
          <w:tcPr>
            <w:tcW w:w="709" w:type="dxa"/>
            <w:tcBorders>
              <w:top w:val="single" w:sz="4" w:space="0" w:color="auto"/>
              <w:left w:val="single" w:sz="4" w:space="0" w:color="auto"/>
              <w:bottom w:val="single" w:sz="4" w:space="0" w:color="auto"/>
              <w:right w:val="single" w:sz="4" w:space="0" w:color="auto"/>
            </w:tcBorders>
            <w:vAlign w:val="center"/>
          </w:tcPr>
          <w:p w14:paraId="448E03B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57.6%</w:t>
            </w:r>
          </w:p>
        </w:tc>
        <w:tc>
          <w:tcPr>
            <w:tcW w:w="709" w:type="dxa"/>
            <w:tcBorders>
              <w:top w:val="single" w:sz="4" w:space="0" w:color="auto"/>
              <w:left w:val="single" w:sz="4" w:space="0" w:color="auto"/>
              <w:bottom w:val="single" w:sz="4" w:space="0" w:color="auto"/>
              <w:right w:val="single" w:sz="4" w:space="0" w:color="auto"/>
            </w:tcBorders>
            <w:vAlign w:val="center"/>
          </w:tcPr>
          <w:p w14:paraId="173251F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48.1%</w:t>
            </w:r>
          </w:p>
        </w:tc>
        <w:tc>
          <w:tcPr>
            <w:tcW w:w="708" w:type="dxa"/>
            <w:tcBorders>
              <w:top w:val="single" w:sz="4" w:space="0" w:color="auto"/>
              <w:left w:val="single" w:sz="4" w:space="0" w:color="auto"/>
              <w:bottom w:val="single" w:sz="4" w:space="0" w:color="auto"/>
              <w:right w:val="single" w:sz="4" w:space="0" w:color="auto"/>
            </w:tcBorders>
            <w:vAlign w:val="center"/>
          </w:tcPr>
          <w:p w14:paraId="007F1E37"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63.0%</w:t>
            </w:r>
          </w:p>
        </w:tc>
        <w:tc>
          <w:tcPr>
            <w:tcW w:w="709" w:type="dxa"/>
            <w:tcBorders>
              <w:top w:val="single" w:sz="4" w:space="0" w:color="auto"/>
              <w:left w:val="single" w:sz="4" w:space="0" w:color="auto"/>
              <w:bottom w:val="single" w:sz="4" w:space="0" w:color="auto"/>
              <w:right w:val="single" w:sz="4" w:space="0" w:color="auto"/>
            </w:tcBorders>
            <w:vAlign w:val="center"/>
          </w:tcPr>
          <w:p w14:paraId="27B6E146"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65.4%</w:t>
            </w:r>
          </w:p>
        </w:tc>
        <w:tc>
          <w:tcPr>
            <w:tcW w:w="709" w:type="dxa"/>
            <w:tcBorders>
              <w:top w:val="single" w:sz="4" w:space="0" w:color="auto"/>
              <w:left w:val="single" w:sz="4" w:space="0" w:color="auto"/>
              <w:bottom w:val="single" w:sz="4" w:space="0" w:color="auto"/>
              <w:right w:val="single" w:sz="4" w:space="0" w:color="auto"/>
            </w:tcBorders>
            <w:vAlign w:val="center"/>
          </w:tcPr>
          <w:p w14:paraId="2DED043D"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60.4%</w:t>
            </w:r>
          </w:p>
        </w:tc>
        <w:tc>
          <w:tcPr>
            <w:tcW w:w="709" w:type="dxa"/>
            <w:tcBorders>
              <w:top w:val="single" w:sz="4" w:space="0" w:color="auto"/>
              <w:left w:val="single" w:sz="4" w:space="0" w:color="auto"/>
              <w:bottom w:val="single" w:sz="4" w:space="0" w:color="auto"/>
              <w:right w:val="single" w:sz="4" w:space="0" w:color="auto"/>
            </w:tcBorders>
            <w:vAlign w:val="center"/>
          </w:tcPr>
          <w:p w14:paraId="78C853EA"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61.4%</w:t>
            </w:r>
          </w:p>
        </w:tc>
        <w:tc>
          <w:tcPr>
            <w:tcW w:w="709" w:type="dxa"/>
            <w:vAlign w:val="center"/>
          </w:tcPr>
          <w:p w14:paraId="38481F99" w14:textId="77777777" w:rsidR="00A87A85" w:rsidRPr="00003725" w:rsidRDefault="00A87A85" w:rsidP="00030298">
            <w:pPr>
              <w:widowControl/>
              <w:spacing w:line="360" w:lineRule="auto"/>
              <w:rPr>
                <w:rFonts w:ascii="Times New Roman" w:hAnsi="Times New Roman" w:cs="Times New Roman"/>
                <w:sz w:val="18"/>
                <w:szCs w:val="20"/>
              </w:rPr>
            </w:pPr>
            <w:r w:rsidRPr="00003725">
              <w:rPr>
                <w:rFonts w:ascii="Times New Roman" w:hAnsi="Times New Roman" w:cs="Times New Roman"/>
                <w:sz w:val="18"/>
                <w:szCs w:val="20"/>
              </w:rPr>
              <w:t>56.9%</w:t>
            </w:r>
          </w:p>
        </w:tc>
        <w:tc>
          <w:tcPr>
            <w:tcW w:w="2514" w:type="dxa"/>
            <w:tcBorders>
              <w:top w:val="nil"/>
              <w:left w:val="single" w:sz="4" w:space="0" w:color="auto"/>
              <w:bottom w:val="nil"/>
              <w:right w:val="nil"/>
            </w:tcBorders>
            <w:vAlign w:val="center"/>
          </w:tcPr>
          <w:p w14:paraId="41F0FBE3" w14:textId="77777777" w:rsidR="00A87A85" w:rsidRPr="008333E6" w:rsidRDefault="00A87A85" w:rsidP="00030298">
            <w:pPr>
              <w:widowControl/>
              <w:spacing w:line="480" w:lineRule="auto"/>
              <w:rPr>
                <w:rFonts w:ascii="Times New Roman" w:hAnsi="Times New Roman" w:cs="Times New Roman"/>
              </w:rPr>
            </w:pPr>
          </w:p>
        </w:tc>
      </w:tr>
      <w:tr w:rsidR="00A87A85" w:rsidRPr="008333E6" w14:paraId="17360860" w14:textId="77777777" w:rsidTr="00030298">
        <w:trPr>
          <w:gridAfter w:val="1"/>
          <w:wAfter w:w="2514" w:type="dxa"/>
        </w:trPr>
        <w:tc>
          <w:tcPr>
            <w:tcW w:w="8932" w:type="dxa"/>
            <w:gridSpan w:val="11"/>
            <w:tcBorders>
              <w:bottom w:val="single" w:sz="4" w:space="0" w:color="auto"/>
            </w:tcBorders>
            <w:shd w:val="clear" w:color="auto" w:fill="D9D9D9" w:themeFill="background1" w:themeFillShade="D9"/>
            <w:vAlign w:val="center"/>
          </w:tcPr>
          <w:p w14:paraId="61FF38E1" w14:textId="77777777" w:rsidR="00A87A85" w:rsidRPr="008333E6" w:rsidRDefault="00A87A85" w:rsidP="00030298">
            <w:pPr>
              <w:spacing w:line="360" w:lineRule="auto"/>
              <w:rPr>
                <w:rFonts w:ascii="Times New Roman" w:hAnsi="Times New Roman" w:cs="Times New Roman"/>
              </w:rPr>
            </w:pPr>
            <w:r w:rsidRPr="00003725">
              <w:rPr>
                <w:rFonts w:ascii="Times New Roman" w:hAnsi="Times New Roman" w:cs="Times New Roman"/>
                <w:sz w:val="20"/>
                <w:szCs w:val="21"/>
              </w:rPr>
              <w:t>Folate Pathway Inhibitors</w:t>
            </w:r>
          </w:p>
        </w:tc>
      </w:tr>
      <w:tr w:rsidR="00A87A85" w:rsidRPr="008333E6" w14:paraId="1DBFEE23"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0EEC0F4A" w14:textId="77777777" w:rsidR="00A87A85" w:rsidRPr="00003725" w:rsidRDefault="00A87A85" w:rsidP="00030298">
            <w:pPr>
              <w:spacing w:line="360" w:lineRule="auto"/>
              <w:rPr>
                <w:rFonts w:ascii="Times New Roman" w:hAnsi="Times New Roman" w:cs="Times New Roman"/>
                <w:sz w:val="20"/>
                <w:szCs w:val="21"/>
              </w:rPr>
            </w:pPr>
            <w:r w:rsidRPr="00003725">
              <w:rPr>
                <w:rFonts w:ascii="Times New Roman" w:hAnsi="Times New Roman" w:cs="Times New Roman"/>
                <w:sz w:val="20"/>
                <w:szCs w:val="21"/>
              </w:rPr>
              <w:t>Trimethoprim-Sulfamethoxazole</w:t>
            </w:r>
          </w:p>
        </w:tc>
        <w:tc>
          <w:tcPr>
            <w:tcW w:w="709" w:type="dxa"/>
            <w:tcBorders>
              <w:top w:val="single" w:sz="4" w:space="0" w:color="auto"/>
              <w:left w:val="single" w:sz="4" w:space="0" w:color="auto"/>
              <w:bottom w:val="single" w:sz="4" w:space="0" w:color="auto"/>
              <w:right w:val="single" w:sz="4" w:space="0" w:color="auto"/>
            </w:tcBorders>
            <w:vAlign w:val="center"/>
          </w:tcPr>
          <w:p w14:paraId="11133725"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72.5%</w:t>
            </w:r>
          </w:p>
        </w:tc>
        <w:tc>
          <w:tcPr>
            <w:tcW w:w="708" w:type="dxa"/>
            <w:tcBorders>
              <w:top w:val="single" w:sz="4" w:space="0" w:color="auto"/>
              <w:left w:val="single" w:sz="4" w:space="0" w:color="auto"/>
              <w:bottom w:val="single" w:sz="4" w:space="0" w:color="auto"/>
              <w:right w:val="single" w:sz="4" w:space="0" w:color="auto"/>
            </w:tcBorders>
            <w:vAlign w:val="center"/>
          </w:tcPr>
          <w:p w14:paraId="29372ED4"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62.7%</w:t>
            </w:r>
          </w:p>
        </w:tc>
        <w:tc>
          <w:tcPr>
            <w:tcW w:w="709" w:type="dxa"/>
            <w:tcBorders>
              <w:top w:val="single" w:sz="4" w:space="0" w:color="auto"/>
              <w:left w:val="single" w:sz="4" w:space="0" w:color="auto"/>
              <w:bottom w:val="single" w:sz="4" w:space="0" w:color="auto"/>
              <w:right w:val="single" w:sz="4" w:space="0" w:color="auto"/>
            </w:tcBorders>
            <w:vAlign w:val="center"/>
          </w:tcPr>
          <w:p w14:paraId="450C512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65.3%</w:t>
            </w:r>
          </w:p>
        </w:tc>
        <w:tc>
          <w:tcPr>
            <w:tcW w:w="709" w:type="dxa"/>
            <w:tcBorders>
              <w:top w:val="single" w:sz="4" w:space="0" w:color="auto"/>
              <w:left w:val="single" w:sz="4" w:space="0" w:color="auto"/>
              <w:bottom w:val="single" w:sz="4" w:space="0" w:color="auto"/>
              <w:right w:val="single" w:sz="4" w:space="0" w:color="auto"/>
            </w:tcBorders>
            <w:vAlign w:val="center"/>
          </w:tcPr>
          <w:p w14:paraId="04934D92"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58.5%</w:t>
            </w:r>
          </w:p>
        </w:tc>
        <w:tc>
          <w:tcPr>
            <w:tcW w:w="709" w:type="dxa"/>
            <w:tcBorders>
              <w:top w:val="single" w:sz="4" w:space="0" w:color="auto"/>
              <w:left w:val="single" w:sz="4" w:space="0" w:color="auto"/>
              <w:bottom w:val="single" w:sz="4" w:space="0" w:color="auto"/>
              <w:right w:val="single" w:sz="4" w:space="0" w:color="auto"/>
            </w:tcBorders>
            <w:vAlign w:val="center"/>
          </w:tcPr>
          <w:p w14:paraId="2213972F"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65.4%</w:t>
            </w:r>
          </w:p>
        </w:tc>
        <w:tc>
          <w:tcPr>
            <w:tcW w:w="708" w:type="dxa"/>
            <w:tcBorders>
              <w:top w:val="single" w:sz="4" w:space="0" w:color="auto"/>
              <w:left w:val="single" w:sz="4" w:space="0" w:color="auto"/>
              <w:bottom w:val="single" w:sz="4" w:space="0" w:color="auto"/>
              <w:right w:val="single" w:sz="4" w:space="0" w:color="auto"/>
            </w:tcBorders>
            <w:vAlign w:val="center"/>
          </w:tcPr>
          <w:p w14:paraId="649BA1F1"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65.5%</w:t>
            </w:r>
          </w:p>
        </w:tc>
        <w:tc>
          <w:tcPr>
            <w:tcW w:w="709" w:type="dxa"/>
            <w:tcBorders>
              <w:top w:val="single" w:sz="4" w:space="0" w:color="auto"/>
              <w:left w:val="single" w:sz="4" w:space="0" w:color="auto"/>
              <w:bottom w:val="single" w:sz="4" w:space="0" w:color="auto"/>
              <w:right w:val="single" w:sz="4" w:space="0" w:color="auto"/>
            </w:tcBorders>
            <w:vAlign w:val="center"/>
          </w:tcPr>
          <w:p w14:paraId="41A07969"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73.1%</w:t>
            </w:r>
          </w:p>
        </w:tc>
        <w:tc>
          <w:tcPr>
            <w:tcW w:w="709" w:type="dxa"/>
            <w:tcBorders>
              <w:top w:val="single" w:sz="4" w:space="0" w:color="auto"/>
              <w:left w:val="single" w:sz="4" w:space="0" w:color="auto"/>
              <w:bottom w:val="single" w:sz="4" w:space="0" w:color="auto"/>
              <w:right w:val="single" w:sz="4" w:space="0" w:color="auto"/>
            </w:tcBorders>
            <w:vAlign w:val="center"/>
          </w:tcPr>
          <w:p w14:paraId="445E8956"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59.3%</w:t>
            </w:r>
          </w:p>
        </w:tc>
        <w:tc>
          <w:tcPr>
            <w:tcW w:w="709" w:type="dxa"/>
            <w:tcBorders>
              <w:top w:val="single" w:sz="4" w:space="0" w:color="auto"/>
              <w:left w:val="single" w:sz="4" w:space="0" w:color="auto"/>
              <w:bottom w:val="single" w:sz="4" w:space="0" w:color="auto"/>
              <w:right w:val="single" w:sz="4" w:space="0" w:color="auto"/>
            </w:tcBorders>
            <w:vAlign w:val="center"/>
          </w:tcPr>
          <w:p w14:paraId="79C77A10"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44.3%</w:t>
            </w:r>
          </w:p>
        </w:tc>
        <w:tc>
          <w:tcPr>
            <w:tcW w:w="709" w:type="dxa"/>
            <w:vAlign w:val="center"/>
          </w:tcPr>
          <w:p w14:paraId="74A29F23" w14:textId="77777777" w:rsidR="00A87A85" w:rsidRPr="00003725" w:rsidRDefault="00A87A85" w:rsidP="00030298">
            <w:pPr>
              <w:spacing w:line="360" w:lineRule="auto"/>
              <w:rPr>
                <w:rFonts w:ascii="Times New Roman" w:hAnsi="Times New Roman" w:cs="Times New Roman"/>
                <w:sz w:val="18"/>
                <w:szCs w:val="20"/>
              </w:rPr>
            </w:pPr>
            <w:r w:rsidRPr="00003725">
              <w:rPr>
                <w:rFonts w:ascii="Times New Roman" w:hAnsi="Times New Roman" w:cs="Times New Roman"/>
                <w:sz w:val="18"/>
                <w:szCs w:val="20"/>
              </w:rPr>
              <w:t>61.8%</w:t>
            </w:r>
          </w:p>
        </w:tc>
      </w:tr>
    </w:tbl>
    <w:p w14:paraId="671F8842" w14:textId="77777777" w:rsidR="00A87A85" w:rsidRPr="008333E6" w:rsidRDefault="00A87A85" w:rsidP="00A87A85">
      <w:pPr>
        <w:spacing w:line="480" w:lineRule="auto"/>
        <w:rPr>
          <w:rFonts w:ascii="Times New Roman" w:hAnsi="Times New Roman" w:cs="Times New Roman"/>
        </w:rPr>
      </w:pPr>
    </w:p>
    <w:p w14:paraId="3FBB3A1F" w14:textId="77777777" w:rsidR="00A87A85" w:rsidRPr="008333E6" w:rsidRDefault="00A87A85" w:rsidP="00A87A85">
      <w:pPr>
        <w:spacing w:line="480" w:lineRule="auto"/>
        <w:rPr>
          <w:rFonts w:ascii="Times New Roman" w:hAnsi="Times New Roman" w:cs="Times New Roman"/>
        </w:rPr>
      </w:pPr>
      <w:r w:rsidRPr="008333E6">
        <w:rPr>
          <w:rFonts w:ascii="Times New Roman" w:hAnsi="Times New Roman" w:cs="Times New Roman"/>
        </w:rPr>
        <w:t>Table S</w:t>
      </w:r>
      <w:r>
        <w:rPr>
          <w:rFonts w:ascii="Times New Roman" w:hAnsi="Times New Roman" w:cs="Times New Roman" w:hint="eastAsia"/>
        </w:rPr>
        <w:t>4</w:t>
      </w:r>
      <w:r w:rsidRPr="008333E6">
        <w:rPr>
          <w:rFonts w:ascii="Times New Roman" w:hAnsi="Times New Roman" w:cs="Times New Roman"/>
        </w:rPr>
        <w:t xml:space="preserve">. Antimicrobial resistance trends of </w:t>
      </w:r>
      <w:r w:rsidRPr="008333E6">
        <w:rPr>
          <w:rFonts w:ascii="Times New Roman" w:hAnsi="Times New Roman" w:cs="Times New Roman"/>
          <w:i/>
          <w:iCs/>
        </w:rPr>
        <w:t>K. pneumoniae</w:t>
      </w:r>
      <w:r w:rsidRPr="008333E6">
        <w:rPr>
          <w:rFonts w:ascii="Times New Roman" w:hAnsi="Times New Roman" w:cs="Times New Roman"/>
        </w:rPr>
        <w:t xml:space="preserve"> across individual antibiotics (2017–2025).</w:t>
      </w:r>
    </w:p>
    <w:tbl>
      <w:tblPr>
        <w:tblStyle w:val="af2"/>
        <w:tblW w:w="11446" w:type="dxa"/>
        <w:tblLayout w:type="fixed"/>
        <w:tblLook w:val="04A0" w:firstRow="1" w:lastRow="0" w:firstColumn="1" w:lastColumn="0" w:noHBand="0" w:noVBand="1"/>
      </w:tblPr>
      <w:tblGrid>
        <w:gridCol w:w="1844"/>
        <w:gridCol w:w="709"/>
        <w:gridCol w:w="708"/>
        <w:gridCol w:w="709"/>
        <w:gridCol w:w="709"/>
        <w:gridCol w:w="709"/>
        <w:gridCol w:w="708"/>
        <w:gridCol w:w="709"/>
        <w:gridCol w:w="709"/>
        <w:gridCol w:w="709"/>
        <w:gridCol w:w="709"/>
        <w:gridCol w:w="2514"/>
      </w:tblGrid>
      <w:tr w:rsidR="00A87A85" w:rsidRPr="0081589E" w14:paraId="6A77CD94" w14:textId="77777777" w:rsidTr="00030298">
        <w:trPr>
          <w:gridAfter w:val="1"/>
          <w:wAfter w:w="2514" w:type="dxa"/>
        </w:trPr>
        <w:tc>
          <w:tcPr>
            <w:tcW w:w="1844" w:type="dxa"/>
            <w:vAlign w:val="center"/>
          </w:tcPr>
          <w:p w14:paraId="0CB1918E"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Resistance rate</w:t>
            </w:r>
          </w:p>
          <w:p w14:paraId="1329A358"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w:t>
            </w:r>
            <w:r w:rsidRPr="0081589E">
              <w:rPr>
                <w:rFonts w:ascii="Times New Roman" w:eastAsia="宋体" w:hAnsi="Times New Roman" w:cs="Times New Roman"/>
                <w:i/>
                <w:iCs/>
                <w:kern w:val="0"/>
                <w:sz w:val="20"/>
                <w:szCs w:val="20"/>
                <w14:ligatures w14:val="none"/>
              </w:rPr>
              <w:t>K. pneumoniae</w:t>
            </w:r>
            <w:r w:rsidRPr="0081589E">
              <w:rPr>
                <w:rFonts w:ascii="Times New Roman" w:hAnsi="Times New Roman" w:cs="Times New Roman"/>
                <w:sz w:val="20"/>
                <w:szCs w:val="20"/>
              </w:rPr>
              <w:t>)</w:t>
            </w:r>
          </w:p>
        </w:tc>
        <w:tc>
          <w:tcPr>
            <w:tcW w:w="709" w:type="dxa"/>
            <w:vAlign w:val="center"/>
          </w:tcPr>
          <w:p w14:paraId="3F6C27A2"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eastAsia="宋体" w:hAnsi="Times New Roman" w:cs="Times New Roman"/>
                <w:kern w:val="0"/>
                <w:sz w:val="20"/>
                <w:szCs w:val="20"/>
                <w14:ligatures w14:val="none"/>
              </w:rPr>
              <w:t>2017</w:t>
            </w:r>
          </w:p>
        </w:tc>
        <w:tc>
          <w:tcPr>
            <w:tcW w:w="708" w:type="dxa"/>
            <w:vAlign w:val="center"/>
          </w:tcPr>
          <w:p w14:paraId="33394253"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2018</w:t>
            </w:r>
          </w:p>
        </w:tc>
        <w:tc>
          <w:tcPr>
            <w:tcW w:w="709" w:type="dxa"/>
            <w:vAlign w:val="center"/>
          </w:tcPr>
          <w:p w14:paraId="36B24724"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2019</w:t>
            </w:r>
          </w:p>
        </w:tc>
        <w:tc>
          <w:tcPr>
            <w:tcW w:w="709" w:type="dxa"/>
            <w:vAlign w:val="center"/>
          </w:tcPr>
          <w:p w14:paraId="705FF383"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eastAsia="宋体" w:hAnsi="Times New Roman" w:cs="Times New Roman"/>
                <w:kern w:val="0"/>
                <w:sz w:val="20"/>
                <w:szCs w:val="20"/>
                <w14:ligatures w14:val="none"/>
              </w:rPr>
              <w:t>2020</w:t>
            </w:r>
          </w:p>
        </w:tc>
        <w:tc>
          <w:tcPr>
            <w:tcW w:w="709" w:type="dxa"/>
            <w:vAlign w:val="center"/>
          </w:tcPr>
          <w:p w14:paraId="2C0DD4B7"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eastAsia="宋体" w:hAnsi="Times New Roman" w:cs="Times New Roman"/>
                <w:kern w:val="0"/>
                <w:sz w:val="20"/>
                <w:szCs w:val="20"/>
                <w14:ligatures w14:val="none"/>
              </w:rPr>
              <w:t>2021</w:t>
            </w:r>
          </w:p>
        </w:tc>
        <w:tc>
          <w:tcPr>
            <w:tcW w:w="708" w:type="dxa"/>
            <w:vAlign w:val="center"/>
          </w:tcPr>
          <w:p w14:paraId="29A62827"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2022</w:t>
            </w:r>
          </w:p>
        </w:tc>
        <w:tc>
          <w:tcPr>
            <w:tcW w:w="709" w:type="dxa"/>
            <w:vAlign w:val="center"/>
          </w:tcPr>
          <w:p w14:paraId="665F386E"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eastAsia="宋体" w:hAnsi="Times New Roman" w:cs="Times New Roman"/>
                <w:kern w:val="0"/>
                <w:sz w:val="20"/>
                <w:szCs w:val="20"/>
                <w14:ligatures w14:val="none"/>
              </w:rPr>
              <w:t>2023</w:t>
            </w:r>
          </w:p>
        </w:tc>
        <w:tc>
          <w:tcPr>
            <w:tcW w:w="709" w:type="dxa"/>
            <w:vAlign w:val="center"/>
          </w:tcPr>
          <w:p w14:paraId="6E04D31D"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2024</w:t>
            </w:r>
          </w:p>
        </w:tc>
        <w:tc>
          <w:tcPr>
            <w:tcW w:w="709" w:type="dxa"/>
            <w:vAlign w:val="center"/>
          </w:tcPr>
          <w:p w14:paraId="4A23E2BD"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2025</w:t>
            </w:r>
          </w:p>
        </w:tc>
        <w:tc>
          <w:tcPr>
            <w:tcW w:w="709" w:type="dxa"/>
            <w:vAlign w:val="center"/>
          </w:tcPr>
          <w:p w14:paraId="5DBE5961"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Total</w:t>
            </w:r>
          </w:p>
        </w:tc>
      </w:tr>
      <w:tr w:rsidR="00A87A85" w:rsidRPr="0081589E" w14:paraId="2C978F33" w14:textId="77777777" w:rsidTr="00030298">
        <w:trPr>
          <w:gridAfter w:val="1"/>
          <w:wAfter w:w="2514" w:type="dxa"/>
        </w:trPr>
        <w:tc>
          <w:tcPr>
            <w:tcW w:w="8932" w:type="dxa"/>
            <w:gridSpan w:val="11"/>
            <w:shd w:val="clear" w:color="auto" w:fill="D9D9D9" w:themeFill="background1" w:themeFillShade="D9"/>
            <w:vAlign w:val="center"/>
          </w:tcPr>
          <w:p w14:paraId="1116A3D3" w14:textId="77777777" w:rsidR="00A87A85" w:rsidRPr="0081589E" w:rsidRDefault="00A87A85" w:rsidP="00030298">
            <w:pPr>
              <w:spacing w:line="360" w:lineRule="auto"/>
              <w:rPr>
                <w:rFonts w:ascii="Times New Roman" w:eastAsia="宋体" w:hAnsi="Times New Roman" w:cs="Times New Roman"/>
                <w:kern w:val="0"/>
                <w:sz w:val="20"/>
                <w:szCs w:val="20"/>
                <w14:ligatures w14:val="none"/>
              </w:rPr>
            </w:pPr>
            <w:r w:rsidRPr="0081589E">
              <w:rPr>
                <w:rFonts w:ascii="Times New Roman" w:eastAsia="宋体" w:hAnsi="Times New Roman" w:cs="Times New Roman"/>
                <w:kern w:val="0"/>
                <w:sz w:val="20"/>
                <w:szCs w:val="20"/>
                <w14:ligatures w14:val="none"/>
              </w:rPr>
              <w:t>Aminoglycosides</w:t>
            </w:r>
          </w:p>
        </w:tc>
      </w:tr>
      <w:tr w:rsidR="00A87A85" w:rsidRPr="0081589E" w14:paraId="40E7849B" w14:textId="77777777" w:rsidTr="00030298">
        <w:trPr>
          <w:gridAfter w:val="1"/>
          <w:wAfter w:w="2514" w:type="dxa"/>
        </w:trPr>
        <w:tc>
          <w:tcPr>
            <w:tcW w:w="1844" w:type="dxa"/>
            <w:vAlign w:val="center"/>
          </w:tcPr>
          <w:p w14:paraId="4D5D5E2F"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Amikacin</w:t>
            </w:r>
          </w:p>
        </w:tc>
        <w:tc>
          <w:tcPr>
            <w:tcW w:w="709" w:type="dxa"/>
            <w:tcBorders>
              <w:top w:val="single" w:sz="4" w:space="0" w:color="auto"/>
              <w:left w:val="nil"/>
              <w:bottom w:val="single" w:sz="4" w:space="0" w:color="auto"/>
              <w:right w:val="single" w:sz="4" w:space="0" w:color="auto"/>
            </w:tcBorders>
            <w:vAlign w:val="center"/>
          </w:tcPr>
          <w:p w14:paraId="11F315EE"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4.8%</w:t>
            </w:r>
          </w:p>
        </w:tc>
        <w:tc>
          <w:tcPr>
            <w:tcW w:w="708" w:type="dxa"/>
            <w:tcBorders>
              <w:top w:val="single" w:sz="4" w:space="0" w:color="auto"/>
              <w:left w:val="single" w:sz="4" w:space="0" w:color="auto"/>
              <w:bottom w:val="single" w:sz="4" w:space="0" w:color="auto"/>
              <w:right w:val="single" w:sz="4" w:space="0" w:color="auto"/>
            </w:tcBorders>
            <w:vAlign w:val="center"/>
          </w:tcPr>
          <w:p w14:paraId="359D11AB"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7.3%</w:t>
            </w:r>
          </w:p>
        </w:tc>
        <w:tc>
          <w:tcPr>
            <w:tcW w:w="709" w:type="dxa"/>
            <w:tcBorders>
              <w:top w:val="single" w:sz="4" w:space="0" w:color="auto"/>
              <w:left w:val="single" w:sz="4" w:space="0" w:color="auto"/>
              <w:bottom w:val="single" w:sz="4" w:space="0" w:color="auto"/>
              <w:right w:val="single" w:sz="4" w:space="0" w:color="auto"/>
            </w:tcBorders>
            <w:vAlign w:val="center"/>
          </w:tcPr>
          <w:p w14:paraId="65BBAE8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14:paraId="6C234FFA"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w:t>
            </w:r>
          </w:p>
        </w:tc>
        <w:tc>
          <w:tcPr>
            <w:tcW w:w="709" w:type="dxa"/>
            <w:tcBorders>
              <w:top w:val="single" w:sz="4" w:space="0" w:color="auto"/>
              <w:left w:val="single" w:sz="4" w:space="0" w:color="auto"/>
              <w:bottom w:val="single" w:sz="4" w:space="0" w:color="auto"/>
              <w:right w:val="single" w:sz="4" w:space="0" w:color="auto"/>
            </w:tcBorders>
            <w:vAlign w:val="center"/>
          </w:tcPr>
          <w:p w14:paraId="21C008FB"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9.0%</w:t>
            </w:r>
          </w:p>
        </w:tc>
        <w:tc>
          <w:tcPr>
            <w:tcW w:w="708" w:type="dxa"/>
            <w:tcBorders>
              <w:top w:val="single" w:sz="4" w:space="0" w:color="auto"/>
              <w:left w:val="single" w:sz="4" w:space="0" w:color="auto"/>
              <w:bottom w:val="single" w:sz="4" w:space="0" w:color="auto"/>
              <w:right w:val="single" w:sz="4" w:space="0" w:color="auto"/>
            </w:tcBorders>
            <w:vAlign w:val="center"/>
          </w:tcPr>
          <w:p w14:paraId="5F255308"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35EF4F8B"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8.7%</w:t>
            </w:r>
          </w:p>
        </w:tc>
        <w:tc>
          <w:tcPr>
            <w:tcW w:w="709" w:type="dxa"/>
            <w:tcBorders>
              <w:top w:val="single" w:sz="4" w:space="0" w:color="auto"/>
              <w:left w:val="single" w:sz="4" w:space="0" w:color="auto"/>
              <w:bottom w:val="single" w:sz="4" w:space="0" w:color="auto"/>
              <w:right w:val="single" w:sz="4" w:space="0" w:color="auto"/>
            </w:tcBorders>
            <w:vAlign w:val="center"/>
          </w:tcPr>
          <w:p w14:paraId="38CB6814"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11.5%</w:t>
            </w:r>
          </w:p>
        </w:tc>
        <w:tc>
          <w:tcPr>
            <w:tcW w:w="709" w:type="dxa"/>
            <w:tcBorders>
              <w:top w:val="single" w:sz="4" w:space="0" w:color="auto"/>
              <w:left w:val="single" w:sz="4" w:space="0" w:color="auto"/>
              <w:bottom w:val="single" w:sz="4" w:space="0" w:color="auto"/>
              <w:right w:val="single" w:sz="4" w:space="0" w:color="auto"/>
            </w:tcBorders>
            <w:vAlign w:val="center"/>
          </w:tcPr>
          <w:p w14:paraId="6E64A646"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2.4%</w:t>
            </w:r>
          </w:p>
        </w:tc>
        <w:tc>
          <w:tcPr>
            <w:tcW w:w="709" w:type="dxa"/>
            <w:vAlign w:val="center"/>
          </w:tcPr>
          <w:p w14:paraId="264BB18F"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5.5%</w:t>
            </w:r>
          </w:p>
        </w:tc>
      </w:tr>
      <w:tr w:rsidR="00A87A85" w:rsidRPr="0081589E" w14:paraId="1BE07531" w14:textId="77777777" w:rsidTr="00030298">
        <w:trPr>
          <w:gridAfter w:val="1"/>
          <w:wAfter w:w="2514" w:type="dxa"/>
        </w:trPr>
        <w:tc>
          <w:tcPr>
            <w:tcW w:w="1844" w:type="dxa"/>
            <w:tcBorders>
              <w:top w:val="single" w:sz="4" w:space="0" w:color="auto"/>
            </w:tcBorders>
            <w:vAlign w:val="center"/>
          </w:tcPr>
          <w:p w14:paraId="0CD6F6FE"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lastRenderedPageBreak/>
              <w:t>Gentamicin</w:t>
            </w:r>
          </w:p>
        </w:tc>
        <w:tc>
          <w:tcPr>
            <w:tcW w:w="709" w:type="dxa"/>
            <w:tcBorders>
              <w:top w:val="single" w:sz="4" w:space="0" w:color="auto"/>
              <w:left w:val="nil"/>
              <w:bottom w:val="single" w:sz="4" w:space="0" w:color="auto"/>
              <w:right w:val="single" w:sz="4" w:space="0" w:color="auto"/>
            </w:tcBorders>
            <w:vAlign w:val="center"/>
          </w:tcPr>
          <w:p w14:paraId="2DCE2918"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40.3%</w:t>
            </w:r>
          </w:p>
        </w:tc>
        <w:tc>
          <w:tcPr>
            <w:tcW w:w="708" w:type="dxa"/>
            <w:tcBorders>
              <w:top w:val="single" w:sz="4" w:space="0" w:color="auto"/>
              <w:left w:val="single" w:sz="4" w:space="0" w:color="auto"/>
              <w:bottom w:val="single" w:sz="4" w:space="0" w:color="auto"/>
              <w:right w:val="single" w:sz="4" w:space="0" w:color="auto"/>
            </w:tcBorders>
            <w:vAlign w:val="center"/>
          </w:tcPr>
          <w:p w14:paraId="590B47BF"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34.5%</w:t>
            </w:r>
          </w:p>
        </w:tc>
        <w:tc>
          <w:tcPr>
            <w:tcW w:w="709" w:type="dxa"/>
            <w:tcBorders>
              <w:top w:val="single" w:sz="4" w:space="0" w:color="auto"/>
              <w:left w:val="single" w:sz="4" w:space="0" w:color="auto"/>
              <w:bottom w:val="single" w:sz="4" w:space="0" w:color="auto"/>
              <w:right w:val="single" w:sz="4" w:space="0" w:color="auto"/>
            </w:tcBorders>
            <w:vAlign w:val="center"/>
          </w:tcPr>
          <w:p w14:paraId="20CC55E9"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28.4%</w:t>
            </w:r>
          </w:p>
        </w:tc>
        <w:tc>
          <w:tcPr>
            <w:tcW w:w="709" w:type="dxa"/>
            <w:tcBorders>
              <w:top w:val="single" w:sz="4" w:space="0" w:color="auto"/>
              <w:left w:val="single" w:sz="4" w:space="0" w:color="auto"/>
              <w:bottom w:val="single" w:sz="4" w:space="0" w:color="auto"/>
              <w:right w:val="single" w:sz="4" w:space="0" w:color="auto"/>
            </w:tcBorders>
            <w:vAlign w:val="center"/>
          </w:tcPr>
          <w:p w14:paraId="5A089838"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13.6%</w:t>
            </w:r>
          </w:p>
        </w:tc>
        <w:tc>
          <w:tcPr>
            <w:tcW w:w="709" w:type="dxa"/>
            <w:tcBorders>
              <w:top w:val="single" w:sz="4" w:space="0" w:color="auto"/>
              <w:left w:val="single" w:sz="4" w:space="0" w:color="auto"/>
              <w:bottom w:val="single" w:sz="4" w:space="0" w:color="auto"/>
              <w:right w:val="single" w:sz="4" w:space="0" w:color="auto"/>
            </w:tcBorders>
            <w:vAlign w:val="center"/>
          </w:tcPr>
          <w:p w14:paraId="16C48E9D"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26.9%</w:t>
            </w:r>
          </w:p>
        </w:tc>
        <w:tc>
          <w:tcPr>
            <w:tcW w:w="708" w:type="dxa"/>
            <w:tcBorders>
              <w:top w:val="single" w:sz="4" w:space="0" w:color="auto"/>
              <w:left w:val="single" w:sz="4" w:space="0" w:color="auto"/>
              <w:bottom w:val="single" w:sz="4" w:space="0" w:color="auto"/>
              <w:right w:val="single" w:sz="4" w:space="0" w:color="auto"/>
            </w:tcBorders>
            <w:vAlign w:val="center"/>
          </w:tcPr>
          <w:p w14:paraId="0D9FD09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17.9%</w:t>
            </w:r>
          </w:p>
        </w:tc>
        <w:tc>
          <w:tcPr>
            <w:tcW w:w="709" w:type="dxa"/>
            <w:tcBorders>
              <w:top w:val="single" w:sz="4" w:space="0" w:color="auto"/>
              <w:left w:val="single" w:sz="4" w:space="0" w:color="auto"/>
              <w:bottom w:val="single" w:sz="4" w:space="0" w:color="auto"/>
              <w:right w:val="single" w:sz="4" w:space="0" w:color="auto"/>
            </w:tcBorders>
            <w:vAlign w:val="center"/>
          </w:tcPr>
          <w:p w14:paraId="4711E322"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21.7%</w:t>
            </w:r>
          </w:p>
        </w:tc>
        <w:tc>
          <w:tcPr>
            <w:tcW w:w="709" w:type="dxa"/>
            <w:tcBorders>
              <w:top w:val="single" w:sz="4" w:space="0" w:color="auto"/>
              <w:left w:val="single" w:sz="4" w:space="0" w:color="auto"/>
              <w:bottom w:val="single" w:sz="4" w:space="0" w:color="auto"/>
              <w:right w:val="single" w:sz="4" w:space="0" w:color="auto"/>
            </w:tcBorders>
            <w:vAlign w:val="center"/>
          </w:tcPr>
          <w:p w14:paraId="1443649F"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7877F65C"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22.9%</w:t>
            </w:r>
          </w:p>
        </w:tc>
        <w:tc>
          <w:tcPr>
            <w:tcW w:w="709" w:type="dxa"/>
            <w:vAlign w:val="center"/>
          </w:tcPr>
          <w:p w14:paraId="2D331604"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27.0%</w:t>
            </w:r>
          </w:p>
        </w:tc>
      </w:tr>
      <w:tr w:rsidR="00A87A85" w:rsidRPr="0081589E" w14:paraId="50F46213"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0CFC9532"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β-Lactams (Cephalosporins)</w:t>
            </w:r>
          </w:p>
        </w:tc>
      </w:tr>
      <w:tr w:rsidR="00A87A85" w:rsidRPr="0081589E" w14:paraId="10B7BF21" w14:textId="77777777" w:rsidTr="00030298">
        <w:trPr>
          <w:gridAfter w:val="1"/>
          <w:wAfter w:w="2514" w:type="dxa"/>
        </w:trPr>
        <w:tc>
          <w:tcPr>
            <w:tcW w:w="1844" w:type="dxa"/>
            <w:vAlign w:val="center"/>
          </w:tcPr>
          <w:p w14:paraId="4A63549C"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Cefotaxime</w:t>
            </w:r>
          </w:p>
        </w:tc>
        <w:tc>
          <w:tcPr>
            <w:tcW w:w="709" w:type="dxa"/>
            <w:tcBorders>
              <w:top w:val="single" w:sz="4" w:space="0" w:color="auto"/>
              <w:left w:val="nil"/>
              <w:bottom w:val="single" w:sz="4" w:space="0" w:color="auto"/>
              <w:right w:val="single" w:sz="4" w:space="0" w:color="auto"/>
            </w:tcBorders>
            <w:vAlign w:val="center"/>
          </w:tcPr>
          <w:p w14:paraId="5FB1B91D"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45.2%</w:t>
            </w:r>
          </w:p>
        </w:tc>
        <w:tc>
          <w:tcPr>
            <w:tcW w:w="708" w:type="dxa"/>
            <w:tcBorders>
              <w:top w:val="single" w:sz="4" w:space="0" w:color="auto"/>
              <w:left w:val="single" w:sz="4" w:space="0" w:color="auto"/>
              <w:bottom w:val="single" w:sz="4" w:space="0" w:color="auto"/>
              <w:right w:val="single" w:sz="4" w:space="0" w:color="auto"/>
            </w:tcBorders>
            <w:vAlign w:val="center"/>
          </w:tcPr>
          <w:p w14:paraId="40178293"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50.9%</w:t>
            </w:r>
          </w:p>
        </w:tc>
        <w:tc>
          <w:tcPr>
            <w:tcW w:w="709" w:type="dxa"/>
            <w:tcBorders>
              <w:top w:val="single" w:sz="4" w:space="0" w:color="auto"/>
              <w:left w:val="single" w:sz="4" w:space="0" w:color="auto"/>
              <w:bottom w:val="single" w:sz="4" w:space="0" w:color="auto"/>
              <w:right w:val="single" w:sz="4" w:space="0" w:color="auto"/>
            </w:tcBorders>
            <w:vAlign w:val="center"/>
          </w:tcPr>
          <w:p w14:paraId="60F9109A"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28.9%</w:t>
            </w:r>
          </w:p>
        </w:tc>
        <w:tc>
          <w:tcPr>
            <w:tcW w:w="709" w:type="dxa"/>
            <w:tcBorders>
              <w:top w:val="single" w:sz="4" w:space="0" w:color="auto"/>
              <w:left w:val="single" w:sz="4" w:space="0" w:color="auto"/>
              <w:bottom w:val="single" w:sz="4" w:space="0" w:color="auto"/>
              <w:right w:val="single" w:sz="4" w:space="0" w:color="auto"/>
            </w:tcBorders>
            <w:vAlign w:val="center"/>
          </w:tcPr>
          <w:p w14:paraId="4DFEBD8F"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22.7%</w:t>
            </w:r>
          </w:p>
        </w:tc>
        <w:tc>
          <w:tcPr>
            <w:tcW w:w="709" w:type="dxa"/>
            <w:tcBorders>
              <w:top w:val="single" w:sz="4" w:space="0" w:color="auto"/>
              <w:left w:val="single" w:sz="4" w:space="0" w:color="auto"/>
              <w:bottom w:val="single" w:sz="4" w:space="0" w:color="auto"/>
              <w:right w:val="single" w:sz="4" w:space="0" w:color="auto"/>
            </w:tcBorders>
            <w:vAlign w:val="center"/>
          </w:tcPr>
          <w:p w14:paraId="40BAFA14"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17.9%</w:t>
            </w:r>
          </w:p>
        </w:tc>
        <w:tc>
          <w:tcPr>
            <w:tcW w:w="708" w:type="dxa"/>
            <w:tcBorders>
              <w:top w:val="single" w:sz="4" w:space="0" w:color="auto"/>
              <w:left w:val="single" w:sz="4" w:space="0" w:color="auto"/>
              <w:bottom w:val="single" w:sz="4" w:space="0" w:color="auto"/>
              <w:right w:val="single" w:sz="4" w:space="0" w:color="auto"/>
            </w:tcBorders>
            <w:vAlign w:val="center"/>
          </w:tcPr>
          <w:p w14:paraId="6018B704"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33.3%</w:t>
            </w:r>
          </w:p>
        </w:tc>
        <w:tc>
          <w:tcPr>
            <w:tcW w:w="709" w:type="dxa"/>
            <w:tcBorders>
              <w:top w:val="single" w:sz="4" w:space="0" w:color="auto"/>
              <w:left w:val="single" w:sz="4" w:space="0" w:color="auto"/>
              <w:bottom w:val="single" w:sz="4" w:space="0" w:color="auto"/>
              <w:right w:val="single" w:sz="4" w:space="0" w:color="auto"/>
            </w:tcBorders>
            <w:vAlign w:val="center"/>
          </w:tcPr>
          <w:p w14:paraId="2F3207EB"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30.4%</w:t>
            </w:r>
          </w:p>
        </w:tc>
        <w:tc>
          <w:tcPr>
            <w:tcW w:w="709" w:type="dxa"/>
            <w:tcBorders>
              <w:top w:val="single" w:sz="4" w:space="0" w:color="auto"/>
              <w:left w:val="single" w:sz="4" w:space="0" w:color="auto"/>
              <w:bottom w:val="single" w:sz="4" w:space="0" w:color="auto"/>
              <w:right w:val="single" w:sz="4" w:space="0" w:color="auto"/>
            </w:tcBorders>
            <w:vAlign w:val="center"/>
          </w:tcPr>
          <w:p w14:paraId="2D6698B1"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41.0%</w:t>
            </w:r>
          </w:p>
        </w:tc>
        <w:tc>
          <w:tcPr>
            <w:tcW w:w="709" w:type="dxa"/>
            <w:tcBorders>
              <w:top w:val="single" w:sz="4" w:space="0" w:color="auto"/>
              <w:left w:val="single" w:sz="4" w:space="0" w:color="auto"/>
              <w:bottom w:val="single" w:sz="4" w:space="0" w:color="auto"/>
              <w:right w:val="single" w:sz="4" w:space="0" w:color="auto"/>
            </w:tcBorders>
            <w:vAlign w:val="center"/>
          </w:tcPr>
          <w:p w14:paraId="53FC7B5E"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34.9%</w:t>
            </w:r>
          </w:p>
        </w:tc>
        <w:tc>
          <w:tcPr>
            <w:tcW w:w="709" w:type="dxa"/>
            <w:vAlign w:val="center"/>
          </w:tcPr>
          <w:p w14:paraId="1815A06A"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33.9%</w:t>
            </w:r>
          </w:p>
        </w:tc>
      </w:tr>
      <w:tr w:rsidR="00A87A85" w:rsidRPr="0081589E" w14:paraId="732CEA75" w14:textId="77777777" w:rsidTr="00030298">
        <w:trPr>
          <w:gridAfter w:val="1"/>
          <w:wAfter w:w="2514" w:type="dxa"/>
        </w:trPr>
        <w:tc>
          <w:tcPr>
            <w:tcW w:w="1844" w:type="dxa"/>
            <w:vAlign w:val="center"/>
          </w:tcPr>
          <w:p w14:paraId="742C0670"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Ceftazidime</w:t>
            </w:r>
          </w:p>
        </w:tc>
        <w:tc>
          <w:tcPr>
            <w:tcW w:w="709" w:type="dxa"/>
            <w:tcBorders>
              <w:top w:val="single" w:sz="4" w:space="0" w:color="auto"/>
              <w:left w:val="nil"/>
              <w:bottom w:val="single" w:sz="4" w:space="0" w:color="auto"/>
              <w:right w:val="single" w:sz="4" w:space="0" w:color="auto"/>
            </w:tcBorders>
            <w:vAlign w:val="center"/>
          </w:tcPr>
          <w:p w14:paraId="57FFF265"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30.6%</w:t>
            </w:r>
          </w:p>
        </w:tc>
        <w:tc>
          <w:tcPr>
            <w:tcW w:w="708" w:type="dxa"/>
            <w:tcBorders>
              <w:top w:val="single" w:sz="4" w:space="0" w:color="auto"/>
              <w:left w:val="single" w:sz="4" w:space="0" w:color="auto"/>
              <w:bottom w:val="single" w:sz="4" w:space="0" w:color="auto"/>
              <w:right w:val="single" w:sz="4" w:space="0" w:color="auto"/>
            </w:tcBorders>
            <w:vAlign w:val="center"/>
          </w:tcPr>
          <w:p w14:paraId="1102E256"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24.1%</w:t>
            </w:r>
          </w:p>
        </w:tc>
        <w:tc>
          <w:tcPr>
            <w:tcW w:w="709" w:type="dxa"/>
            <w:tcBorders>
              <w:top w:val="single" w:sz="4" w:space="0" w:color="auto"/>
              <w:left w:val="single" w:sz="4" w:space="0" w:color="auto"/>
              <w:bottom w:val="single" w:sz="4" w:space="0" w:color="auto"/>
              <w:right w:val="single" w:sz="4" w:space="0" w:color="auto"/>
            </w:tcBorders>
            <w:vAlign w:val="center"/>
          </w:tcPr>
          <w:p w14:paraId="36B1C852"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28.1%</w:t>
            </w:r>
          </w:p>
        </w:tc>
        <w:tc>
          <w:tcPr>
            <w:tcW w:w="709" w:type="dxa"/>
            <w:tcBorders>
              <w:top w:val="single" w:sz="4" w:space="0" w:color="auto"/>
              <w:left w:val="single" w:sz="4" w:space="0" w:color="auto"/>
              <w:bottom w:val="single" w:sz="4" w:space="0" w:color="auto"/>
              <w:right w:val="single" w:sz="4" w:space="0" w:color="auto"/>
            </w:tcBorders>
            <w:vAlign w:val="center"/>
          </w:tcPr>
          <w:p w14:paraId="5D5ECBC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15.2%</w:t>
            </w:r>
          </w:p>
        </w:tc>
        <w:tc>
          <w:tcPr>
            <w:tcW w:w="709" w:type="dxa"/>
            <w:tcBorders>
              <w:top w:val="single" w:sz="4" w:space="0" w:color="auto"/>
              <w:left w:val="single" w:sz="4" w:space="0" w:color="auto"/>
              <w:bottom w:val="single" w:sz="4" w:space="0" w:color="auto"/>
              <w:right w:val="single" w:sz="4" w:space="0" w:color="auto"/>
            </w:tcBorders>
            <w:vAlign w:val="center"/>
          </w:tcPr>
          <w:p w14:paraId="18BC70E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16.4%</w:t>
            </w:r>
          </w:p>
        </w:tc>
        <w:tc>
          <w:tcPr>
            <w:tcW w:w="708" w:type="dxa"/>
            <w:tcBorders>
              <w:top w:val="single" w:sz="4" w:space="0" w:color="auto"/>
              <w:left w:val="single" w:sz="4" w:space="0" w:color="auto"/>
              <w:bottom w:val="single" w:sz="4" w:space="0" w:color="auto"/>
              <w:right w:val="single" w:sz="4" w:space="0" w:color="auto"/>
            </w:tcBorders>
            <w:vAlign w:val="center"/>
          </w:tcPr>
          <w:p w14:paraId="10441F12"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28.2%</w:t>
            </w:r>
          </w:p>
        </w:tc>
        <w:tc>
          <w:tcPr>
            <w:tcW w:w="709" w:type="dxa"/>
            <w:tcBorders>
              <w:top w:val="single" w:sz="4" w:space="0" w:color="auto"/>
              <w:left w:val="single" w:sz="4" w:space="0" w:color="auto"/>
              <w:bottom w:val="single" w:sz="4" w:space="0" w:color="auto"/>
              <w:right w:val="single" w:sz="4" w:space="0" w:color="auto"/>
            </w:tcBorders>
            <w:vAlign w:val="center"/>
          </w:tcPr>
          <w:p w14:paraId="20689E2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30.4%</w:t>
            </w:r>
          </w:p>
        </w:tc>
        <w:tc>
          <w:tcPr>
            <w:tcW w:w="709" w:type="dxa"/>
            <w:tcBorders>
              <w:top w:val="single" w:sz="4" w:space="0" w:color="auto"/>
              <w:left w:val="single" w:sz="4" w:space="0" w:color="auto"/>
              <w:bottom w:val="single" w:sz="4" w:space="0" w:color="auto"/>
              <w:right w:val="single" w:sz="4" w:space="0" w:color="auto"/>
            </w:tcBorders>
            <w:vAlign w:val="center"/>
          </w:tcPr>
          <w:p w14:paraId="688802E0"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34.4%</w:t>
            </w:r>
          </w:p>
        </w:tc>
        <w:tc>
          <w:tcPr>
            <w:tcW w:w="709" w:type="dxa"/>
            <w:tcBorders>
              <w:top w:val="single" w:sz="4" w:space="0" w:color="auto"/>
              <w:left w:val="single" w:sz="4" w:space="0" w:color="auto"/>
              <w:bottom w:val="single" w:sz="4" w:space="0" w:color="auto"/>
              <w:right w:val="single" w:sz="4" w:space="0" w:color="auto"/>
            </w:tcBorders>
            <w:vAlign w:val="center"/>
          </w:tcPr>
          <w:p w14:paraId="44E33ADE"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30.1%</w:t>
            </w:r>
          </w:p>
        </w:tc>
        <w:tc>
          <w:tcPr>
            <w:tcW w:w="709" w:type="dxa"/>
            <w:vAlign w:val="center"/>
          </w:tcPr>
          <w:p w14:paraId="5C563B47" w14:textId="77777777" w:rsidR="00A87A85" w:rsidRPr="0081589E" w:rsidRDefault="00A87A85" w:rsidP="00030298">
            <w:pPr>
              <w:spacing w:line="360" w:lineRule="auto"/>
              <w:rPr>
                <w:rFonts w:ascii="Times New Roman" w:hAnsi="Times New Roman" w:cs="Times New Roman"/>
                <w:sz w:val="18"/>
                <w:szCs w:val="18"/>
              </w:rPr>
            </w:pPr>
            <w:r w:rsidRPr="0081589E">
              <w:rPr>
                <w:rFonts w:ascii="Times New Roman" w:hAnsi="Times New Roman" w:cs="Times New Roman"/>
                <w:sz w:val="18"/>
                <w:szCs w:val="18"/>
              </w:rPr>
              <w:t>26.0%</w:t>
            </w:r>
          </w:p>
        </w:tc>
      </w:tr>
      <w:tr w:rsidR="00A87A85" w:rsidRPr="0081589E" w14:paraId="27B1F351" w14:textId="77777777" w:rsidTr="00030298">
        <w:trPr>
          <w:gridAfter w:val="1"/>
          <w:wAfter w:w="2514" w:type="dxa"/>
        </w:trPr>
        <w:tc>
          <w:tcPr>
            <w:tcW w:w="8932" w:type="dxa"/>
            <w:gridSpan w:val="11"/>
            <w:tcBorders>
              <w:bottom w:val="single" w:sz="4" w:space="0" w:color="auto"/>
            </w:tcBorders>
            <w:shd w:val="clear" w:color="auto" w:fill="D9D9D9" w:themeFill="background1" w:themeFillShade="D9"/>
            <w:vAlign w:val="center"/>
          </w:tcPr>
          <w:p w14:paraId="1D2B7847"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β-Lactams (Carbapenems)</w:t>
            </w:r>
          </w:p>
        </w:tc>
      </w:tr>
      <w:tr w:rsidR="00A87A85" w:rsidRPr="0081589E" w14:paraId="72B9AEC6"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70D034C1"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Meropenem</w:t>
            </w:r>
          </w:p>
        </w:tc>
        <w:tc>
          <w:tcPr>
            <w:tcW w:w="709" w:type="dxa"/>
            <w:tcBorders>
              <w:top w:val="single" w:sz="4" w:space="0" w:color="auto"/>
              <w:left w:val="single" w:sz="4" w:space="0" w:color="auto"/>
              <w:bottom w:val="single" w:sz="4" w:space="0" w:color="auto"/>
              <w:right w:val="single" w:sz="4" w:space="0" w:color="auto"/>
            </w:tcBorders>
            <w:vAlign w:val="center"/>
          </w:tcPr>
          <w:p w14:paraId="7E84B12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1.6%</w:t>
            </w:r>
          </w:p>
        </w:tc>
        <w:tc>
          <w:tcPr>
            <w:tcW w:w="708" w:type="dxa"/>
            <w:tcBorders>
              <w:top w:val="single" w:sz="4" w:space="0" w:color="auto"/>
              <w:left w:val="single" w:sz="4" w:space="0" w:color="auto"/>
              <w:bottom w:val="single" w:sz="4" w:space="0" w:color="auto"/>
              <w:right w:val="single" w:sz="4" w:space="0" w:color="auto"/>
            </w:tcBorders>
            <w:vAlign w:val="center"/>
          </w:tcPr>
          <w:p w14:paraId="438CBAF9"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3.6%</w:t>
            </w:r>
          </w:p>
        </w:tc>
        <w:tc>
          <w:tcPr>
            <w:tcW w:w="709" w:type="dxa"/>
            <w:tcBorders>
              <w:top w:val="single" w:sz="4" w:space="0" w:color="auto"/>
              <w:left w:val="single" w:sz="4" w:space="0" w:color="auto"/>
              <w:bottom w:val="single" w:sz="4" w:space="0" w:color="auto"/>
              <w:right w:val="single" w:sz="4" w:space="0" w:color="auto"/>
            </w:tcBorders>
            <w:vAlign w:val="center"/>
          </w:tcPr>
          <w:p w14:paraId="08EDB6E8"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vAlign w:val="center"/>
          </w:tcPr>
          <w:p w14:paraId="228E8A98"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4.5%</w:t>
            </w:r>
          </w:p>
        </w:tc>
        <w:tc>
          <w:tcPr>
            <w:tcW w:w="709" w:type="dxa"/>
            <w:tcBorders>
              <w:top w:val="single" w:sz="4" w:space="0" w:color="auto"/>
              <w:left w:val="single" w:sz="4" w:space="0" w:color="auto"/>
              <w:bottom w:val="single" w:sz="4" w:space="0" w:color="auto"/>
              <w:right w:val="single" w:sz="4" w:space="0" w:color="auto"/>
            </w:tcBorders>
            <w:vAlign w:val="center"/>
          </w:tcPr>
          <w:p w14:paraId="5167B86B"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0.0%</w:t>
            </w:r>
          </w:p>
        </w:tc>
        <w:tc>
          <w:tcPr>
            <w:tcW w:w="708" w:type="dxa"/>
            <w:tcBorders>
              <w:top w:val="single" w:sz="4" w:space="0" w:color="auto"/>
              <w:left w:val="single" w:sz="4" w:space="0" w:color="auto"/>
              <w:bottom w:val="single" w:sz="4" w:space="0" w:color="auto"/>
              <w:right w:val="single" w:sz="4" w:space="0" w:color="auto"/>
            </w:tcBorders>
            <w:vAlign w:val="center"/>
          </w:tcPr>
          <w:p w14:paraId="131ABA7D"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03710A2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4.3%</w:t>
            </w:r>
          </w:p>
        </w:tc>
        <w:tc>
          <w:tcPr>
            <w:tcW w:w="709" w:type="dxa"/>
            <w:tcBorders>
              <w:top w:val="single" w:sz="4" w:space="0" w:color="auto"/>
              <w:left w:val="single" w:sz="4" w:space="0" w:color="auto"/>
              <w:bottom w:val="single" w:sz="4" w:space="0" w:color="auto"/>
              <w:right w:val="single" w:sz="4" w:space="0" w:color="auto"/>
            </w:tcBorders>
            <w:vAlign w:val="center"/>
          </w:tcPr>
          <w:p w14:paraId="22A0461A"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8.2%</w:t>
            </w:r>
          </w:p>
        </w:tc>
        <w:tc>
          <w:tcPr>
            <w:tcW w:w="709" w:type="dxa"/>
            <w:tcBorders>
              <w:top w:val="single" w:sz="4" w:space="0" w:color="auto"/>
              <w:left w:val="single" w:sz="4" w:space="0" w:color="auto"/>
              <w:bottom w:val="single" w:sz="4" w:space="0" w:color="auto"/>
              <w:right w:val="single" w:sz="4" w:space="0" w:color="auto"/>
            </w:tcBorders>
            <w:vAlign w:val="center"/>
          </w:tcPr>
          <w:p w14:paraId="79AE208B"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3.6%</w:t>
            </w:r>
          </w:p>
        </w:tc>
        <w:tc>
          <w:tcPr>
            <w:tcW w:w="709" w:type="dxa"/>
            <w:vAlign w:val="center"/>
          </w:tcPr>
          <w:p w14:paraId="2823712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3.1%</w:t>
            </w:r>
          </w:p>
        </w:tc>
      </w:tr>
      <w:tr w:rsidR="00A87A85" w:rsidRPr="0081589E" w14:paraId="1E84B383"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5872E38E"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Imipenem</w:t>
            </w:r>
          </w:p>
        </w:tc>
        <w:tc>
          <w:tcPr>
            <w:tcW w:w="709" w:type="dxa"/>
            <w:tcBorders>
              <w:top w:val="single" w:sz="4" w:space="0" w:color="auto"/>
              <w:left w:val="single" w:sz="4" w:space="0" w:color="auto"/>
              <w:bottom w:val="single" w:sz="4" w:space="0" w:color="auto"/>
              <w:right w:val="single" w:sz="4" w:space="0" w:color="auto"/>
            </w:tcBorders>
            <w:vAlign w:val="center"/>
          </w:tcPr>
          <w:p w14:paraId="4A90A1B7"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1.6%</w:t>
            </w:r>
          </w:p>
        </w:tc>
        <w:tc>
          <w:tcPr>
            <w:tcW w:w="708" w:type="dxa"/>
            <w:tcBorders>
              <w:top w:val="single" w:sz="4" w:space="0" w:color="auto"/>
              <w:left w:val="single" w:sz="4" w:space="0" w:color="auto"/>
              <w:bottom w:val="single" w:sz="4" w:space="0" w:color="auto"/>
              <w:right w:val="single" w:sz="4" w:space="0" w:color="auto"/>
            </w:tcBorders>
            <w:vAlign w:val="center"/>
          </w:tcPr>
          <w:p w14:paraId="2998CF3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4.2%</w:t>
            </w:r>
          </w:p>
        </w:tc>
        <w:tc>
          <w:tcPr>
            <w:tcW w:w="709" w:type="dxa"/>
            <w:tcBorders>
              <w:top w:val="single" w:sz="4" w:space="0" w:color="auto"/>
              <w:left w:val="single" w:sz="4" w:space="0" w:color="auto"/>
              <w:bottom w:val="single" w:sz="4" w:space="0" w:color="auto"/>
              <w:right w:val="single" w:sz="4" w:space="0" w:color="auto"/>
            </w:tcBorders>
            <w:vAlign w:val="center"/>
          </w:tcPr>
          <w:p w14:paraId="6652FDE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vAlign w:val="center"/>
          </w:tcPr>
          <w:p w14:paraId="18E336E0"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4.5%</w:t>
            </w:r>
          </w:p>
        </w:tc>
        <w:tc>
          <w:tcPr>
            <w:tcW w:w="709" w:type="dxa"/>
            <w:tcBorders>
              <w:top w:val="single" w:sz="4" w:space="0" w:color="auto"/>
              <w:left w:val="single" w:sz="4" w:space="0" w:color="auto"/>
              <w:bottom w:val="single" w:sz="4" w:space="0" w:color="auto"/>
              <w:right w:val="single" w:sz="4" w:space="0" w:color="auto"/>
            </w:tcBorders>
            <w:vAlign w:val="center"/>
          </w:tcPr>
          <w:p w14:paraId="5FBCEC71"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0.0%</w:t>
            </w:r>
          </w:p>
        </w:tc>
        <w:tc>
          <w:tcPr>
            <w:tcW w:w="708" w:type="dxa"/>
            <w:tcBorders>
              <w:top w:val="single" w:sz="4" w:space="0" w:color="auto"/>
              <w:left w:val="single" w:sz="4" w:space="0" w:color="auto"/>
              <w:bottom w:val="single" w:sz="4" w:space="0" w:color="auto"/>
              <w:right w:val="single" w:sz="4" w:space="0" w:color="auto"/>
            </w:tcBorders>
            <w:vAlign w:val="center"/>
          </w:tcPr>
          <w:p w14:paraId="6DC78650"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2.6%</w:t>
            </w:r>
          </w:p>
        </w:tc>
        <w:tc>
          <w:tcPr>
            <w:tcW w:w="709" w:type="dxa"/>
            <w:tcBorders>
              <w:top w:val="single" w:sz="4" w:space="0" w:color="auto"/>
              <w:left w:val="single" w:sz="4" w:space="0" w:color="auto"/>
              <w:bottom w:val="single" w:sz="4" w:space="0" w:color="auto"/>
              <w:right w:val="single" w:sz="4" w:space="0" w:color="auto"/>
            </w:tcBorders>
            <w:vAlign w:val="center"/>
          </w:tcPr>
          <w:p w14:paraId="1A788E0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8.7%</w:t>
            </w:r>
          </w:p>
        </w:tc>
        <w:tc>
          <w:tcPr>
            <w:tcW w:w="709" w:type="dxa"/>
            <w:tcBorders>
              <w:top w:val="single" w:sz="4" w:space="0" w:color="auto"/>
              <w:left w:val="single" w:sz="4" w:space="0" w:color="auto"/>
              <w:bottom w:val="single" w:sz="4" w:space="0" w:color="auto"/>
              <w:right w:val="single" w:sz="4" w:space="0" w:color="auto"/>
            </w:tcBorders>
            <w:vAlign w:val="center"/>
          </w:tcPr>
          <w:p w14:paraId="1DEE13E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8.2%</w:t>
            </w:r>
          </w:p>
        </w:tc>
        <w:tc>
          <w:tcPr>
            <w:tcW w:w="709" w:type="dxa"/>
            <w:tcBorders>
              <w:top w:val="single" w:sz="4" w:space="0" w:color="auto"/>
              <w:left w:val="single" w:sz="4" w:space="0" w:color="auto"/>
              <w:bottom w:val="single" w:sz="4" w:space="0" w:color="auto"/>
              <w:right w:val="single" w:sz="4" w:space="0" w:color="auto"/>
            </w:tcBorders>
            <w:vAlign w:val="center"/>
          </w:tcPr>
          <w:p w14:paraId="517DC7C7"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3.6%</w:t>
            </w:r>
          </w:p>
        </w:tc>
        <w:tc>
          <w:tcPr>
            <w:tcW w:w="709" w:type="dxa"/>
            <w:vAlign w:val="center"/>
          </w:tcPr>
          <w:p w14:paraId="6165EEBD"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3.5%</w:t>
            </w:r>
          </w:p>
        </w:tc>
      </w:tr>
      <w:tr w:rsidR="00A87A85" w:rsidRPr="0081589E" w14:paraId="3DE0888E"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63E75CD0"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β-Lactams (Monobactams)</w:t>
            </w:r>
          </w:p>
        </w:tc>
      </w:tr>
      <w:tr w:rsidR="00A87A85" w:rsidRPr="0081589E" w14:paraId="6A567764" w14:textId="77777777" w:rsidTr="00030298">
        <w:trPr>
          <w:gridAfter w:val="1"/>
          <w:wAfter w:w="2514" w:type="dxa"/>
        </w:trPr>
        <w:tc>
          <w:tcPr>
            <w:tcW w:w="1844" w:type="dxa"/>
            <w:vAlign w:val="center"/>
          </w:tcPr>
          <w:p w14:paraId="69E38620"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Aztreonam</w:t>
            </w:r>
          </w:p>
        </w:tc>
        <w:tc>
          <w:tcPr>
            <w:tcW w:w="709" w:type="dxa"/>
            <w:tcBorders>
              <w:top w:val="single" w:sz="4" w:space="0" w:color="auto"/>
              <w:left w:val="nil"/>
              <w:bottom w:val="single" w:sz="4" w:space="0" w:color="auto"/>
              <w:right w:val="single" w:sz="4" w:space="0" w:color="auto"/>
            </w:tcBorders>
            <w:vAlign w:val="center"/>
          </w:tcPr>
          <w:p w14:paraId="589D71F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41.9%</w:t>
            </w:r>
          </w:p>
        </w:tc>
        <w:tc>
          <w:tcPr>
            <w:tcW w:w="708" w:type="dxa"/>
            <w:tcBorders>
              <w:top w:val="single" w:sz="4" w:space="0" w:color="auto"/>
              <w:left w:val="single" w:sz="4" w:space="0" w:color="auto"/>
              <w:bottom w:val="single" w:sz="4" w:space="0" w:color="auto"/>
              <w:right w:val="single" w:sz="4" w:space="0" w:color="auto"/>
            </w:tcBorders>
            <w:vAlign w:val="center"/>
          </w:tcPr>
          <w:p w14:paraId="2B29B94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30.9%</w:t>
            </w:r>
          </w:p>
        </w:tc>
        <w:tc>
          <w:tcPr>
            <w:tcW w:w="709" w:type="dxa"/>
            <w:tcBorders>
              <w:top w:val="single" w:sz="4" w:space="0" w:color="auto"/>
              <w:left w:val="single" w:sz="4" w:space="0" w:color="auto"/>
              <w:bottom w:val="single" w:sz="4" w:space="0" w:color="auto"/>
              <w:right w:val="single" w:sz="4" w:space="0" w:color="auto"/>
            </w:tcBorders>
            <w:vAlign w:val="center"/>
          </w:tcPr>
          <w:p w14:paraId="7AB549C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21.5%</w:t>
            </w:r>
          </w:p>
        </w:tc>
        <w:tc>
          <w:tcPr>
            <w:tcW w:w="709" w:type="dxa"/>
            <w:tcBorders>
              <w:top w:val="single" w:sz="4" w:space="0" w:color="auto"/>
              <w:left w:val="single" w:sz="4" w:space="0" w:color="auto"/>
              <w:bottom w:val="single" w:sz="4" w:space="0" w:color="auto"/>
              <w:right w:val="single" w:sz="4" w:space="0" w:color="auto"/>
            </w:tcBorders>
            <w:vAlign w:val="center"/>
          </w:tcPr>
          <w:p w14:paraId="17DD577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16.7%</w:t>
            </w:r>
          </w:p>
        </w:tc>
        <w:tc>
          <w:tcPr>
            <w:tcW w:w="709" w:type="dxa"/>
            <w:tcBorders>
              <w:top w:val="single" w:sz="4" w:space="0" w:color="auto"/>
              <w:left w:val="single" w:sz="4" w:space="0" w:color="auto"/>
              <w:bottom w:val="single" w:sz="4" w:space="0" w:color="auto"/>
              <w:right w:val="single" w:sz="4" w:space="0" w:color="auto"/>
            </w:tcBorders>
            <w:vAlign w:val="center"/>
          </w:tcPr>
          <w:p w14:paraId="2170BB1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14.9%</w:t>
            </w:r>
          </w:p>
        </w:tc>
        <w:tc>
          <w:tcPr>
            <w:tcW w:w="708" w:type="dxa"/>
            <w:tcBorders>
              <w:top w:val="single" w:sz="4" w:space="0" w:color="auto"/>
              <w:left w:val="single" w:sz="4" w:space="0" w:color="auto"/>
              <w:bottom w:val="single" w:sz="4" w:space="0" w:color="auto"/>
              <w:right w:val="single" w:sz="4" w:space="0" w:color="auto"/>
            </w:tcBorders>
            <w:vAlign w:val="center"/>
          </w:tcPr>
          <w:p w14:paraId="7CC6DCF6"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31.6%</w:t>
            </w:r>
          </w:p>
        </w:tc>
        <w:tc>
          <w:tcPr>
            <w:tcW w:w="709" w:type="dxa"/>
            <w:tcBorders>
              <w:top w:val="single" w:sz="4" w:space="0" w:color="auto"/>
              <w:left w:val="single" w:sz="4" w:space="0" w:color="auto"/>
              <w:bottom w:val="single" w:sz="4" w:space="0" w:color="auto"/>
              <w:right w:val="single" w:sz="4" w:space="0" w:color="auto"/>
            </w:tcBorders>
            <w:vAlign w:val="center"/>
          </w:tcPr>
          <w:p w14:paraId="7417C79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39.1%</w:t>
            </w:r>
          </w:p>
        </w:tc>
        <w:tc>
          <w:tcPr>
            <w:tcW w:w="709" w:type="dxa"/>
            <w:tcBorders>
              <w:top w:val="single" w:sz="4" w:space="0" w:color="auto"/>
              <w:left w:val="single" w:sz="4" w:space="0" w:color="auto"/>
              <w:bottom w:val="single" w:sz="4" w:space="0" w:color="auto"/>
              <w:right w:val="single" w:sz="4" w:space="0" w:color="auto"/>
            </w:tcBorders>
            <w:vAlign w:val="center"/>
          </w:tcPr>
          <w:p w14:paraId="4F51FB26"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32.8%</w:t>
            </w:r>
          </w:p>
        </w:tc>
        <w:tc>
          <w:tcPr>
            <w:tcW w:w="709" w:type="dxa"/>
            <w:tcBorders>
              <w:top w:val="single" w:sz="4" w:space="0" w:color="auto"/>
              <w:left w:val="single" w:sz="4" w:space="0" w:color="auto"/>
              <w:bottom w:val="single" w:sz="4" w:space="0" w:color="auto"/>
              <w:right w:val="single" w:sz="4" w:space="0" w:color="auto"/>
            </w:tcBorders>
            <w:vAlign w:val="center"/>
          </w:tcPr>
          <w:p w14:paraId="171CB94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26.5%</w:t>
            </w:r>
          </w:p>
        </w:tc>
        <w:tc>
          <w:tcPr>
            <w:tcW w:w="709" w:type="dxa"/>
            <w:vAlign w:val="center"/>
          </w:tcPr>
          <w:p w14:paraId="43FD5FF1"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27.1%</w:t>
            </w:r>
          </w:p>
        </w:tc>
      </w:tr>
      <w:tr w:rsidR="00A87A85" w:rsidRPr="0081589E" w14:paraId="35B1EDC4" w14:textId="77777777" w:rsidTr="00030298">
        <w:trPr>
          <w:gridAfter w:val="1"/>
          <w:wAfter w:w="2514" w:type="dxa"/>
        </w:trPr>
        <w:tc>
          <w:tcPr>
            <w:tcW w:w="8932" w:type="dxa"/>
            <w:gridSpan w:val="11"/>
            <w:tcBorders>
              <w:top w:val="single" w:sz="4" w:space="0" w:color="auto"/>
            </w:tcBorders>
            <w:shd w:val="clear" w:color="auto" w:fill="D9D9D9" w:themeFill="background1" w:themeFillShade="D9"/>
            <w:vAlign w:val="center"/>
          </w:tcPr>
          <w:p w14:paraId="122F252D"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Fluoroquinolones</w:t>
            </w:r>
          </w:p>
        </w:tc>
      </w:tr>
      <w:tr w:rsidR="00A87A85" w:rsidRPr="0081589E" w14:paraId="75294C4F" w14:textId="77777777" w:rsidTr="00030298">
        <w:trPr>
          <w:gridAfter w:val="1"/>
          <w:wAfter w:w="2514" w:type="dxa"/>
        </w:trPr>
        <w:tc>
          <w:tcPr>
            <w:tcW w:w="1844" w:type="dxa"/>
            <w:vAlign w:val="center"/>
          </w:tcPr>
          <w:p w14:paraId="05FB3772"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Ciprofloxacin</w:t>
            </w:r>
          </w:p>
        </w:tc>
        <w:tc>
          <w:tcPr>
            <w:tcW w:w="709" w:type="dxa"/>
            <w:tcBorders>
              <w:top w:val="single" w:sz="4" w:space="0" w:color="auto"/>
              <w:left w:val="nil"/>
              <w:bottom w:val="single" w:sz="4" w:space="0" w:color="auto"/>
              <w:right w:val="single" w:sz="4" w:space="0" w:color="auto"/>
            </w:tcBorders>
            <w:vAlign w:val="center"/>
          </w:tcPr>
          <w:p w14:paraId="118ACF9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40.3%</w:t>
            </w:r>
          </w:p>
        </w:tc>
        <w:tc>
          <w:tcPr>
            <w:tcW w:w="708" w:type="dxa"/>
            <w:tcBorders>
              <w:top w:val="single" w:sz="4" w:space="0" w:color="auto"/>
              <w:left w:val="single" w:sz="4" w:space="0" w:color="auto"/>
              <w:bottom w:val="single" w:sz="4" w:space="0" w:color="auto"/>
              <w:right w:val="single" w:sz="4" w:space="0" w:color="auto"/>
            </w:tcBorders>
            <w:vAlign w:val="center"/>
          </w:tcPr>
          <w:p w14:paraId="154A3F5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46.8%</w:t>
            </w:r>
          </w:p>
        </w:tc>
        <w:tc>
          <w:tcPr>
            <w:tcW w:w="709" w:type="dxa"/>
            <w:tcBorders>
              <w:top w:val="single" w:sz="4" w:space="0" w:color="auto"/>
              <w:left w:val="single" w:sz="4" w:space="0" w:color="auto"/>
              <w:bottom w:val="single" w:sz="4" w:space="0" w:color="auto"/>
              <w:right w:val="single" w:sz="4" w:space="0" w:color="auto"/>
            </w:tcBorders>
            <w:vAlign w:val="center"/>
          </w:tcPr>
          <w:p w14:paraId="5C6C35D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20.0%</w:t>
            </w:r>
          </w:p>
        </w:tc>
        <w:tc>
          <w:tcPr>
            <w:tcW w:w="709" w:type="dxa"/>
            <w:tcBorders>
              <w:top w:val="single" w:sz="4" w:space="0" w:color="auto"/>
              <w:left w:val="single" w:sz="4" w:space="0" w:color="auto"/>
              <w:bottom w:val="single" w:sz="4" w:space="0" w:color="auto"/>
              <w:right w:val="single" w:sz="4" w:space="0" w:color="auto"/>
            </w:tcBorders>
            <w:vAlign w:val="center"/>
          </w:tcPr>
          <w:p w14:paraId="3E5A0EAF"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15.2%</w:t>
            </w:r>
          </w:p>
        </w:tc>
        <w:tc>
          <w:tcPr>
            <w:tcW w:w="709" w:type="dxa"/>
            <w:tcBorders>
              <w:top w:val="single" w:sz="4" w:space="0" w:color="auto"/>
              <w:left w:val="single" w:sz="4" w:space="0" w:color="auto"/>
              <w:bottom w:val="single" w:sz="4" w:space="0" w:color="auto"/>
              <w:right w:val="single" w:sz="4" w:space="0" w:color="auto"/>
            </w:tcBorders>
            <w:vAlign w:val="center"/>
          </w:tcPr>
          <w:p w14:paraId="1FF23567"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34.3%</w:t>
            </w:r>
          </w:p>
        </w:tc>
        <w:tc>
          <w:tcPr>
            <w:tcW w:w="708" w:type="dxa"/>
            <w:tcBorders>
              <w:top w:val="single" w:sz="4" w:space="0" w:color="auto"/>
              <w:left w:val="single" w:sz="4" w:space="0" w:color="auto"/>
              <w:bottom w:val="single" w:sz="4" w:space="0" w:color="auto"/>
              <w:right w:val="single" w:sz="4" w:space="0" w:color="auto"/>
            </w:tcBorders>
            <w:vAlign w:val="center"/>
          </w:tcPr>
          <w:p w14:paraId="29F7847D"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36.8%</w:t>
            </w:r>
          </w:p>
        </w:tc>
        <w:tc>
          <w:tcPr>
            <w:tcW w:w="709" w:type="dxa"/>
            <w:tcBorders>
              <w:top w:val="single" w:sz="4" w:space="0" w:color="auto"/>
              <w:left w:val="single" w:sz="4" w:space="0" w:color="auto"/>
              <w:bottom w:val="single" w:sz="4" w:space="0" w:color="auto"/>
              <w:right w:val="single" w:sz="4" w:space="0" w:color="auto"/>
            </w:tcBorders>
            <w:vAlign w:val="center"/>
          </w:tcPr>
          <w:p w14:paraId="17A2819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47.8%</w:t>
            </w:r>
          </w:p>
        </w:tc>
        <w:tc>
          <w:tcPr>
            <w:tcW w:w="709" w:type="dxa"/>
            <w:tcBorders>
              <w:top w:val="single" w:sz="4" w:space="0" w:color="auto"/>
              <w:left w:val="single" w:sz="4" w:space="0" w:color="auto"/>
              <w:bottom w:val="single" w:sz="4" w:space="0" w:color="auto"/>
              <w:right w:val="single" w:sz="4" w:space="0" w:color="auto"/>
            </w:tcBorders>
            <w:vAlign w:val="center"/>
          </w:tcPr>
          <w:p w14:paraId="5052FB1D"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45.9%</w:t>
            </w:r>
          </w:p>
        </w:tc>
        <w:tc>
          <w:tcPr>
            <w:tcW w:w="709" w:type="dxa"/>
            <w:tcBorders>
              <w:top w:val="single" w:sz="4" w:space="0" w:color="auto"/>
              <w:left w:val="single" w:sz="4" w:space="0" w:color="auto"/>
              <w:bottom w:val="single" w:sz="4" w:space="0" w:color="auto"/>
              <w:right w:val="single" w:sz="4" w:space="0" w:color="auto"/>
            </w:tcBorders>
            <w:vAlign w:val="center"/>
          </w:tcPr>
          <w:p w14:paraId="1A785F47"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32.5%</w:t>
            </w:r>
          </w:p>
        </w:tc>
        <w:tc>
          <w:tcPr>
            <w:tcW w:w="709" w:type="dxa"/>
            <w:vAlign w:val="center"/>
          </w:tcPr>
          <w:p w14:paraId="16EBF52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34.5%</w:t>
            </w:r>
          </w:p>
        </w:tc>
      </w:tr>
      <w:tr w:rsidR="00A87A85" w:rsidRPr="0081589E" w14:paraId="25FC7148" w14:textId="77777777" w:rsidTr="00030298">
        <w:tc>
          <w:tcPr>
            <w:tcW w:w="1844" w:type="dxa"/>
            <w:tcBorders>
              <w:top w:val="single" w:sz="4" w:space="0" w:color="auto"/>
            </w:tcBorders>
            <w:vAlign w:val="center"/>
          </w:tcPr>
          <w:p w14:paraId="4C615CCC"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Levofloxacin</w:t>
            </w:r>
          </w:p>
        </w:tc>
        <w:tc>
          <w:tcPr>
            <w:tcW w:w="709" w:type="dxa"/>
            <w:tcBorders>
              <w:top w:val="single" w:sz="4" w:space="0" w:color="auto"/>
              <w:left w:val="nil"/>
              <w:bottom w:val="single" w:sz="4" w:space="0" w:color="auto"/>
              <w:right w:val="single" w:sz="4" w:space="0" w:color="auto"/>
            </w:tcBorders>
            <w:vAlign w:val="center"/>
          </w:tcPr>
          <w:p w14:paraId="4E31DFB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43.5%</w:t>
            </w:r>
          </w:p>
        </w:tc>
        <w:tc>
          <w:tcPr>
            <w:tcW w:w="708" w:type="dxa"/>
            <w:tcBorders>
              <w:top w:val="single" w:sz="4" w:space="0" w:color="auto"/>
              <w:left w:val="single" w:sz="4" w:space="0" w:color="auto"/>
              <w:bottom w:val="single" w:sz="4" w:space="0" w:color="auto"/>
              <w:right w:val="single" w:sz="4" w:space="0" w:color="auto"/>
            </w:tcBorders>
            <w:vAlign w:val="center"/>
          </w:tcPr>
          <w:p w14:paraId="6A61497F"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23.6%</w:t>
            </w:r>
          </w:p>
        </w:tc>
        <w:tc>
          <w:tcPr>
            <w:tcW w:w="709" w:type="dxa"/>
            <w:tcBorders>
              <w:top w:val="single" w:sz="4" w:space="0" w:color="auto"/>
              <w:left w:val="single" w:sz="4" w:space="0" w:color="auto"/>
              <w:bottom w:val="single" w:sz="4" w:space="0" w:color="auto"/>
              <w:right w:val="single" w:sz="4" w:space="0" w:color="auto"/>
            </w:tcBorders>
            <w:vAlign w:val="center"/>
          </w:tcPr>
          <w:p w14:paraId="314D864C"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18.5%</w:t>
            </w:r>
          </w:p>
        </w:tc>
        <w:tc>
          <w:tcPr>
            <w:tcW w:w="709" w:type="dxa"/>
            <w:tcBorders>
              <w:top w:val="single" w:sz="4" w:space="0" w:color="auto"/>
              <w:left w:val="single" w:sz="4" w:space="0" w:color="auto"/>
              <w:bottom w:val="single" w:sz="4" w:space="0" w:color="auto"/>
              <w:right w:val="single" w:sz="4" w:space="0" w:color="auto"/>
            </w:tcBorders>
            <w:vAlign w:val="center"/>
          </w:tcPr>
          <w:p w14:paraId="0625E070"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12.1%</w:t>
            </w:r>
          </w:p>
        </w:tc>
        <w:tc>
          <w:tcPr>
            <w:tcW w:w="709" w:type="dxa"/>
            <w:tcBorders>
              <w:top w:val="single" w:sz="4" w:space="0" w:color="auto"/>
              <w:left w:val="single" w:sz="4" w:space="0" w:color="auto"/>
              <w:bottom w:val="single" w:sz="4" w:space="0" w:color="auto"/>
              <w:right w:val="single" w:sz="4" w:space="0" w:color="auto"/>
            </w:tcBorders>
            <w:vAlign w:val="center"/>
          </w:tcPr>
          <w:p w14:paraId="761FDF7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23.9%</w:t>
            </w:r>
          </w:p>
        </w:tc>
        <w:tc>
          <w:tcPr>
            <w:tcW w:w="708" w:type="dxa"/>
            <w:tcBorders>
              <w:top w:val="single" w:sz="4" w:space="0" w:color="auto"/>
              <w:left w:val="single" w:sz="4" w:space="0" w:color="auto"/>
              <w:bottom w:val="single" w:sz="4" w:space="0" w:color="auto"/>
              <w:right w:val="single" w:sz="4" w:space="0" w:color="auto"/>
            </w:tcBorders>
            <w:vAlign w:val="center"/>
          </w:tcPr>
          <w:p w14:paraId="3FCC833D"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26.3%</w:t>
            </w:r>
          </w:p>
        </w:tc>
        <w:tc>
          <w:tcPr>
            <w:tcW w:w="709" w:type="dxa"/>
            <w:tcBorders>
              <w:top w:val="single" w:sz="4" w:space="0" w:color="auto"/>
              <w:left w:val="single" w:sz="4" w:space="0" w:color="auto"/>
              <w:bottom w:val="single" w:sz="4" w:space="0" w:color="auto"/>
              <w:right w:val="single" w:sz="4" w:space="0" w:color="auto"/>
            </w:tcBorders>
            <w:vAlign w:val="center"/>
          </w:tcPr>
          <w:p w14:paraId="23D39F31"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34.8%</w:t>
            </w:r>
          </w:p>
        </w:tc>
        <w:tc>
          <w:tcPr>
            <w:tcW w:w="709" w:type="dxa"/>
            <w:tcBorders>
              <w:top w:val="single" w:sz="4" w:space="0" w:color="auto"/>
              <w:left w:val="single" w:sz="4" w:space="0" w:color="auto"/>
              <w:bottom w:val="single" w:sz="4" w:space="0" w:color="auto"/>
              <w:right w:val="single" w:sz="4" w:space="0" w:color="auto"/>
            </w:tcBorders>
            <w:vAlign w:val="center"/>
          </w:tcPr>
          <w:p w14:paraId="088EE116"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41.0%</w:t>
            </w:r>
          </w:p>
        </w:tc>
        <w:tc>
          <w:tcPr>
            <w:tcW w:w="709" w:type="dxa"/>
            <w:tcBorders>
              <w:top w:val="single" w:sz="4" w:space="0" w:color="auto"/>
              <w:left w:val="single" w:sz="4" w:space="0" w:color="auto"/>
              <w:bottom w:val="single" w:sz="4" w:space="0" w:color="auto"/>
              <w:right w:val="single" w:sz="4" w:space="0" w:color="auto"/>
            </w:tcBorders>
            <w:vAlign w:val="center"/>
          </w:tcPr>
          <w:p w14:paraId="6C5DCB00"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32.5%</w:t>
            </w:r>
          </w:p>
        </w:tc>
        <w:tc>
          <w:tcPr>
            <w:tcW w:w="709" w:type="dxa"/>
            <w:vAlign w:val="center"/>
          </w:tcPr>
          <w:p w14:paraId="6541C02D" w14:textId="77777777" w:rsidR="00A87A85" w:rsidRPr="00A30823" w:rsidRDefault="00A87A85" w:rsidP="00030298">
            <w:pPr>
              <w:widowControl/>
              <w:spacing w:line="360" w:lineRule="auto"/>
              <w:rPr>
                <w:rFonts w:ascii="Times New Roman" w:hAnsi="Times New Roman" w:cs="Times New Roman"/>
                <w:sz w:val="18"/>
                <w:szCs w:val="18"/>
              </w:rPr>
            </w:pPr>
            <w:r w:rsidRPr="00A30823">
              <w:rPr>
                <w:rFonts w:ascii="Times New Roman" w:hAnsi="Times New Roman" w:cs="Times New Roman"/>
                <w:sz w:val="18"/>
                <w:szCs w:val="18"/>
              </w:rPr>
              <w:t>28.1%</w:t>
            </w:r>
          </w:p>
        </w:tc>
        <w:tc>
          <w:tcPr>
            <w:tcW w:w="2514" w:type="dxa"/>
            <w:tcBorders>
              <w:top w:val="nil"/>
              <w:left w:val="single" w:sz="4" w:space="0" w:color="auto"/>
              <w:bottom w:val="nil"/>
              <w:right w:val="nil"/>
            </w:tcBorders>
            <w:vAlign w:val="center"/>
          </w:tcPr>
          <w:p w14:paraId="26765DE2" w14:textId="77777777" w:rsidR="00A87A85" w:rsidRPr="0081589E" w:rsidRDefault="00A87A85" w:rsidP="00030298">
            <w:pPr>
              <w:widowControl/>
              <w:spacing w:line="480" w:lineRule="auto"/>
              <w:rPr>
                <w:rFonts w:ascii="Times New Roman" w:hAnsi="Times New Roman" w:cs="Times New Roman"/>
                <w:sz w:val="20"/>
                <w:szCs w:val="20"/>
              </w:rPr>
            </w:pPr>
          </w:p>
        </w:tc>
      </w:tr>
      <w:tr w:rsidR="00A87A85" w:rsidRPr="0081589E" w14:paraId="759A43F2" w14:textId="77777777" w:rsidTr="00030298">
        <w:trPr>
          <w:gridAfter w:val="1"/>
          <w:wAfter w:w="2514" w:type="dxa"/>
        </w:trPr>
        <w:tc>
          <w:tcPr>
            <w:tcW w:w="8932" w:type="dxa"/>
            <w:gridSpan w:val="11"/>
            <w:tcBorders>
              <w:bottom w:val="single" w:sz="4" w:space="0" w:color="auto"/>
            </w:tcBorders>
            <w:shd w:val="clear" w:color="auto" w:fill="D9D9D9" w:themeFill="background1" w:themeFillShade="D9"/>
            <w:vAlign w:val="center"/>
          </w:tcPr>
          <w:p w14:paraId="6092AA40"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Folate Pathway Inhibitors</w:t>
            </w:r>
          </w:p>
        </w:tc>
      </w:tr>
      <w:tr w:rsidR="00A87A85" w:rsidRPr="0081589E" w14:paraId="5085398D" w14:textId="77777777" w:rsidTr="00030298">
        <w:trPr>
          <w:gridAfter w:val="1"/>
          <w:wAfter w:w="2514" w:type="dxa"/>
        </w:trPr>
        <w:tc>
          <w:tcPr>
            <w:tcW w:w="1844" w:type="dxa"/>
            <w:tcBorders>
              <w:top w:val="single" w:sz="4" w:space="0" w:color="auto"/>
              <w:bottom w:val="single" w:sz="4" w:space="0" w:color="auto"/>
              <w:right w:val="single" w:sz="4" w:space="0" w:color="auto"/>
            </w:tcBorders>
            <w:vAlign w:val="center"/>
          </w:tcPr>
          <w:p w14:paraId="3A2D8DEE" w14:textId="77777777" w:rsidR="00A87A85" w:rsidRPr="0081589E" w:rsidRDefault="00A87A85" w:rsidP="00030298">
            <w:pPr>
              <w:spacing w:line="360" w:lineRule="auto"/>
              <w:rPr>
                <w:rFonts w:ascii="Times New Roman" w:hAnsi="Times New Roman" w:cs="Times New Roman"/>
                <w:sz w:val="20"/>
                <w:szCs w:val="20"/>
              </w:rPr>
            </w:pPr>
            <w:r w:rsidRPr="0081589E">
              <w:rPr>
                <w:rFonts w:ascii="Times New Roman" w:hAnsi="Times New Roman" w:cs="Times New Roman"/>
                <w:sz w:val="20"/>
                <w:szCs w:val="20"/>
              </w:rPr>
              <w:t>Trimethoprim-Sulfamethoxazole</w:t>
            </w:r>
          </w:p>
        </w:tc>
        <w:tc>
          <w:tcPr>
            <w:tcW w:w="709" w:type="dxa"/>
            <w:tcBorders>
              <w:top w:val="single" w:sz="4" w:space="0" w:color="auto"/>
              <w:left w:val="single" w:sz="4" w:space="0" w:color="auto"/>
              <w:bottom w:val="single" w:sz="4" w:space="0" w:color="auto"/>
              <w:right w:val="single" w:sz="4" w:space="0" w:color="auto"/>
            </w:tcBorders>
            <w:vAlign w:val="center"/>
          </w:tcPr>
          <w:p w14:paraId="00AAB669"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61.3%</w:t>
            </w:r>
          </w:p>
        </w:tc>
        <w:tc>
          <w:tcPr>
            <w:tcW w:w="708" w:type="dxa"/>
            <w:tcBorders>
              <w:top w:val="single" w:sz="4" w:space="0" w:color="auto"/>
              <w:left w:val="single" w:sz="4" w:space="0" w:color="auto"/>
              <w:bottom w:val="single" w:sz="4" w:space="0" w:color="auto"/>
              <w:right w:val="single" w:sz="4" w:space="0" w:color="auto"/>
            </w:tcBorders>
            <w:vAlign w:val="center"/>
          </w:tcPr>
          <w:p w14:paraId="3024908B"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50.9%</w:t>
            </w:r>
          </w:p>
        </w:tc>
        <w:tc>
          <w:tcPr>
            <w:tcW w:w="709" w:type="dxa"/>
            <w:tcBorders>
              <w:top w:val="single" w:sz="4" w:space="0" w:color="auto"/>
              <w:left w:val="single" w:sz="4" w:space="0" w:color="auto"/>
              <w:bottom w:val="single" w:sz="4" w:space="0" w:color="auto"/>
              <w:right w:val="single" w:sz="4" w:space="0" w:color="auto"/>
            </w:tcBorders>
            <w:vAlign w:val="center"/>
          </w:tcPr>
          <w:p w14:paraId="05C9F965"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39.4%</w:t>
            </w:r>
          </w:p>
        </w:tc>
        <w:tc>
          <w:tcPr>
            <w:tcW w:w="709" w:type="dxa"/>
            <w:tcBorders>
              <w:top w:val="single" w:sz="4" w:space="0" w:color="auto"/>
              <w:left w:val="single" w:sz="4" w:space="0" w:color="auto"/>
              <w:bottom w:val="single" w:sz="4" w:space="0" w:color="auto"/>
              <w:right w:val="single" w:sz="4" w:space="0" w:color="auto"/>
            </w:tcBorders>
            <w:vAlign w:val="center"/>
          </w:tcPr>
          <w:p w14:paraId="30714EF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38.1%</w:t>
            </w:r>
          </w:p>
        </w:tc>
        <w:tc>
          <w:tcPr>
            <w:tcW w:w="709" w:type="dxa"/>
            <w:tcBorders>
              <w:top w:val="single" w:sz="4" w:space="0" w:color="auto"/>
              <w:left w:val="single" w:sz="4" w:space="0" w:color="auto"/>
              <w:bottom w:val="single" w:sz="4" w:space="0" w:color="auto"/>
              <w:right w:val="single" w:sz="4" w:space="0" w:color="auto"/>
            </w:tcBorders>
            <w:vAlign w:val="center"/>
          </w:tcPr>
          <w:p w14:paraId="05EEABC4"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43.3%</w:t>
            </w:r>
          </w:p>
        </w:tc>
        <w:tc>
          <w:tcPr>
            <w:tcW w:w="708" w:type="dxa"/>
            <w:tcBorders>
              <w:top w:val="single" w:sz="4" w:space="0" w:color="auto"/>
              <w:left w:val="single" w:sz="4" w:space="0" w:color="auto"/>
              <w:bottom w:val="single" w:sz="4" w:space="0" w:color="auto"/>
              <w:right w:val="single" w:sz="4" w:space="0" w:color="auto"/>
            </w:tcBorders>
            <w:vAlign w:val="center"/>
          </w:tcPr>
          <w:p w14:paraId="3040341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38.5%</w:t>
            </w:r>
          </w:p>
        </w:tc>
        <w:tc>
          <w:tcPr>
            <w:tcW w:w="709" w:type="dxa"/>
            <w:tcBorders>
              <w:top w:val="single" w:sz="4" w:space="0" w:color="auto"/>
              <w:left w:val="single" w:sz="4" w:space="0" w:color="auto"/>
              <w:bottom w:val="single" w:sz="4" w:space="0" w:color="auto"/>
              <w:right w:val="single" w:sz="4" w:space="0" w:color="auto"/>
            </w:tcBorders>
            <w:vAlign w:val="center"/>
          </w:tcPr>
          <w:p w14:paraId="2A1C1DAE"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39.1%</w:t>
            </w:r>
          </w:p>
        </w:tc>
        <w:tc>
          <w:tcPr>
            <w:tcW w:w="709" w:type="dxa"/>
            <w:tcBorders>
              <w:top w:val="single" w:sz="4" w:space="0" w:color="auto"/>
              <w:left w:val="single" w:sz="4" w:space="0" w:color="auto"/>
              <w:bottom w:val="single" w:sz="4" w:space="0" w:color="auto"/>
              <w:right w:val="single" w:sz="4" w:space="0" w:color="auto"/>
            </w:tcBorders>
            <w:vAlign w:val="center"/>
          </w:tcPr>
          <w:p w14:paraId="13AB75F1"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42.6%</w:t>
            </w:r>
          </w:p>
        </w:tc>
        <w:tc>
          <w:tcPr>
            <w:tcW w:w="709" w:type="dxa"/>
            <w:tcBorders>
              <w:top w:val="single" w:sz="4" w:space="0" w:color="auto"/>
              <w:left w:val="single" w:sz="4" w:space="0" w:color="auto"/>
              <w:bottom w:val="single" w:sz="4" w:space="0" w:color="auto"/>
              <w:right w:val="single" w:sz="4" w:space="0" w:color="auto"/>
            </w:tcBorders>
            <w:vAlign w:val="center"/>
          </w:tcPr>
          <w:p w14:paraId="33D85297"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32.5%</w:t>
            </w:r>
          </w:p>
        </w:tc>
        <w:tc>
          <w:tcPr>
            <w:tcW w:w="709" w:type="dxa"/>
            <w:vAlign w:val="center"/>
          </w:tcPr>
          <w:p w14:paraId="0CE53740" w14:textId="77777777" w:rsidR="00A87A85" w:rsidRPr="00A30823" w:rsidRDefault="00A87A85" w:rsidP="00030298">
            <w:pPr>
              <w:spacing w:line="360" w:lineRule="auto"/>
              <w:rPr>
                <w:rFonts w:ascii="Times New Roman" w:hAnsi="Times New Roman" w:cs="Times New Roman"/>
                <w:sz w:val="18"/>
                <w:szCs w:val="18"/>
              </w:rPr>
            </w:pPr>
            <w:r w:rsidRPr="00A30823">
              <w:rPr>
                <w:rFonts w:ascii="Times New Roman" w:hAnsi="Times New Roman" w:cs="Times New Roman"/>
                <w:sz w:val="18"/>
                <w:szCs w:val="18"/>
              </w:rPr>
              <w:t>42.8%</w:t>
            </w:r>
          </w:p>
        </w:tc>
      </w:tr>
    </w:tbl>
    <w:p w14:paraId="21FDA742" w14:textId="77777777" w:rsidR="00A87A85" w:rsidRPr="008333E6" w:rsidRDefault="00A87A85" w:rsidP="00A87A85">
      <w:pPr>
        <w:spacing w:line="480" w:lineRule="auto"/>
        <w:rPr>
          <w:rFonts w:ascii="Times New Roman" w:hAnsi="Times New Roman" w:cs="Times New Roman"/>
        </w:rPr>
      </w:pPr>
    </w:p>
    <w:p w14:paraId="1B0666A5" w14:textId="77777777" w:rsidR="00A87A85" w:rsidRPr="004539F3" w:rsidRDefault="00A87A85" w:rsidP="00A87A85">
      <w:pPr>
        <w:rPr>
          <w:rFonts w:ascii="Times New Roman" w:hAnsi="Times New Roman" w:cs="Times New Roman"/>
        </w:rPr>
      </w:pPr>
      <w:r w:rsidRPr="004539F3">
        <w:rPr>
          <w:rFonts w:ascii="Times New Roman" w:hAnsi="Times New Roman" w:cs="Times New Roman" w:hint="eastAsia"/>
        </w:rPr>
        <w:t>Table S5. Proportions of antimicrobial-resistant isolates among the corresponding bacterial species stratified by patient age group.</w:t>
      </w:r>
    </w:p>
    <w:tbl>
      <w:tblPr>
        <w:tblStyle w:val="af2"/>
        <w:tblW w:w="0" w:type="auto"/>
        <w:tblLook w:val="04A0" w:firstRow="1" w:lastRow="0" w:firstColumn="1" w:lastColumn="0" w:noHBand="0" w:noVBand="1"/>
      </w:tblPr>
      <w:tblGrid>
        <w:gridCol w:w="1166"/>
        <w:gridCol w:w="1181"/>
        <w:gridCol w:w="1191"/>
        <w:gridCol w:w="1201"/>
        <w:gridCol w:w="1179"/>
        <w:gridCol w:w="1189"/>
        <w:gridCol w:w="1189"/>
      </w:tblGrid>
      <w:tr w:rsidR="00A87A85" w:rsidRPr="00637A83" w14:paraId="52A5FFBA" w14:textId="77777777" w:rsidTr="00030298">
        <w:tc>
          <w:tcPr>
            <w:tcW w:w="1166" w:type="dxa"/>
          </w:tcPr>
          <w:p w14:paraId="5F9C8F59" w14:textId="77777777" w:rsidR="00A87A85" w:rsidRPr="004539F3" w:rsidRDefault="00A87A85" w:rsidP="00030298">
            <w:pPr>
              <w:jc w:val="center"/>
              <w:rPr>
                <w:rFonts w:ascii="Times New Roman" w:hAnsi="Times New Roman" w:cs="Times New Roman"/>
              </w:rPr>
            </w:pPr>
          </w:p>
        </w:tc>
        <w:tc>
          <w:tcPr>
            <w:tcW w:w="1181" w:type="dxa"/>
          </w:tcPr>
          <w:p w14:paraId="14342725"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MRSA</w:t>
            </w:r>
          </w:p>
        </w:tc>
        <w:tc>
          <w:tcPr>
            <w:tcW w:w="1191" w:type="dxa"/>
          </w:tcPr>
          <w:p w14:paraId="2FCE79CE"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ESBL-KP</w:t>
            </w:r>
          </w:p>
        </w:tc>
        <w:tc>
          <w:tcPr>
            <w:tcW w:w="1201" w:type="dxa"/>
          </w:tcPr>
          <w:p w14:paraId="1F2392A1"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ESBL-EC</w:t>
            </w:r>
          </w:p>
        </w:tc>
        <w:tc>
          <w:tcPr>
            <w:tcW w:w="1179" w:type="dxa"/>
          </w:tcPr>
          <w:p w14:paraId="32BCE635"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CRE</w:t>
            </w:r>
          </w:p>
        </w:tc>
        <w:tc>
          <w:tcPr>
            <w:tcW w:w="1189" w:type="dxa"/>
          </w:tcPr>
          <w:p w14:paraId="13D8502E"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CRPA</w:t>
            </w:r>
          </w:p>
        </w:tc>
        <w:tc>
          <w:tcPr>
            <w:tcW w:w="1189" w:type="dxa"/>
          </w:tcPr>
          <w:p w14:paraId="6C88AEC7"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CRAB</w:t>
            </w:r>
          </w:p>
        </w:tc>
      </w:tr>
      <w:tr w:rsidR="00A87A85" w:rsidRPr="00637A83" w14:paraId="4304D2BF" w14:textId="77777777" w:rsidTr="00030298">
        <w:tc>
          <w:tcPr>
            <w:tcW w:w="1166" w:type="dxa"/>
          </w:tcPr>
          <w:p w14:paraId="45507117"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0-17 years</w:t>
            </w:r>
          </w:p>
        </w:tc>
        <w:tc>
          <w:tcPr>
            <w:tcW w:w="1181" w:type="dxa"/>
          </w:tcPr>
          <w:p w14:paraId="3A0F5620"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15.4% (8/52)</w:t>
            </w:r>
          </w:p>
        </w:tc>
        <w:tc>
          <w:tcPr>
            <w:tcW w:w="1191" w:type="dxa"/>
          </w:tcPr>
          <w:p w14:paraId="7967CA23"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29.1% (16/55)</w:t>
            </w:r>
          </w:p>
        </w:tc>
        <w:tc>
          <w:tcPr>
            <w:tcW w:w="1201" w:type="dxa"/>
          </w:tcPr>
          <w:p w14:paraId="1DC2899E"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52.5% (31/59)</w:t>
            </w:r>
          </w:p>
        </w:tc>
        <w:tc>
          <w:tcPr>
            <w:tcW w:w="1179" w:type="dxa"/>
          </w:tcPr>
          <w:p w14:paraId="4B263143"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2.8%</w:t>
            </w:r>
          </w:p>
          <w:p w14:paraId="133CC064"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3/108</w:t>
            </w:r>
            <w:r>
              <w:rPr>
                <w:rFonts w:ascii="Times New Roman" w:hAnsi="Times New Roman" w:cs="Times New Roman" w:hint="eastAsia"/>
              </w:rPr>
              <w:t>)</w:t>
            </w:r>
          </w:p>
        </w:tc>
        <w:tc>
          <w:tcPr>
            <w:tcW w:w="1189" w:type="dxa"/>
          </w:tcPr>
          <w:p w14:paraId="1CAD8922"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0.0%</w:t>
            </w:r>
          </w:p>
          <w:p w14:paraId="487297CC"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0/11</w:t>
            </w:r>
            <w:r>
              <w:rPr>
                <w:rFonts w:ascii="Times New Roman" w:hAnsi="Times New Roman" w:cs="Times New Roman" w:hint="eastAsia"/>
              </w:rPr>
              <w:t>)</w:t>
            </w:r>
          </w:p>
        </w:tc>
        <w:tc>
          <w:tcPr>
            <w:tcW w:w="1189" w:type="dxa"/>
          </w:tcPr>
          <w:p w14:paraId="6F363AA8"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0.0%</w:t>
            </w:r>
          </w:p>
          <w:p w14:paraId="0E753F29"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0/3</w:t>
            </w:r>
            <w:r>
              <w:rPr>
                <w:rFonts w:ascii="Times New Roman" w:hAnsi="Times New Roman" w:cs="Times New Roman" w:hint="eastAsia"/>
              </w:rPr>
              <w:t>)</w:t>
            </w:r>
          </w:p>
        </w:tc>
      </w:tr>
      <w:tr w:rsidR="00A87A85" w:rsidRPr="00637A83" w14:paraId="0D732013" w14:textId="77777777" w:rsidTr="00030298">
        <w:tc>
          <w:tcPr>
            <w:tcW w:w="1166" w:type="dxa"/>
          </w:tcPr>
          <w:p w14:paraId="2B15D4D6"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18-44 years</w:t>
            </w:r>
          </w:p>
        </w:tc>
        <w:tc>
          <w:tcPr>
            <w:tcW w:w="1181" w:type="dxa"/>
          </w:tcPr>
          <w:p w14:paraId="7F92DB59"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35.5% (11/31)</w:t>
            </w:r>
          </w:p>
        </w:tc>
        <w:tc>
          <w:tcPr>
            <w:tcW w:w="1191" w:type="dxa"/>
          </w:tcPr>
          <w:p w14:paraId="3FF5DBB8"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17.2% (5/29)</w:t>
            </w:r>
          </w:p>
        </w:tc>
        <w:tc>
          <w:tcPr>
            <w:tcW w:w="1201" w:type="dxa"/>
          </w:tcPr>
          <w:p w14:paraId="55FAFB62"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49.4% (41/83)</w:t>
            </w:r>
          </w:p>
        </w:tc>
        <w:tc>
          <w:tcPr>
            <w:tcW w:w="1179" w:type="dxa"/>
          </w:tcPr>
          <w:p w14:paraId="188ABAC4"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1.8%</w:t>
            </w:r>
          </w:p>
          <w:p w14:paraId="1D2BB4B7"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2/109</w:t>
            </w:r>
            <w:r>
              <w:rPr>
                <w:rFonts w:ascii="Times New Roman" w:hAnsi="Times New Roman" w:cs="Times New Roman" w:hint="eastAsia"/>
              </w:rPr>
              <w:t>)</w:t>
            </w:r>
          </w:p>
        </w:tc>
        <w:tc>
          <w:tcPr>
            <w:tcW w:w="1189" w:type="dxa"/>
          </w:tcPr>
          <w:p w14:paraId="30C09D35"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13.3%</w:t>
            </w:r>
          </w:p>
          <w:p w14:paraId="685BD417"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2/15</w:t>
            </w:r>
            <w:r>
              <w:rPr>
                <w:rFonts w:ascii="Times New Roman" w:hAnsi="Times New Roman" w:cs="Times New Roman" w:hint="eastAsia"/>
              </w:rPr>
              <w:t>)</w:t>
            </w:r>
          </w:p>
        </w:tc>
        <w:tc>
          <w:tcPr>
            <w:tcW w:w="1189" w:type="dxa"/>
          </w:tcPr>
          <w:p w14:paraId="25E46E64"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71.4%</w:t>
            </w:r>
          </w:p>
          <w:p w14:paraId="476BCBB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5/7</w:t>
            </w:r>
            <w:r>
              <w:rPr>
                <w:rFonts w:ascii="Times New Roman" w:hAnsi="Times New Roman" w:cs="Times New Roman" w:hint="eastAsia"/>
              </w:rPr>
              <w:t>)</w:t>
            </w:r>
          </w:p>
        </w:tc>
      </w:tr>
      <w:tr w:rsidR="00A87A85" w:rsidRPr="00637A83" w14:paraId="2A2A3478" w14:textId="77777777" w:rsidTr="00030298">
        <w:tc>
          <w:tcPr>
            <w:tcW w:w="1166" w:type="dxa"/>
          </w:tcPr>
          <w:p w14:paraId="14A21E4B"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45-64 years</w:t>
            </w:r>
          </w:p>
        </w:tc>
        <w:tc>
          <w:tcPr>
            <w:tcW w:w="1181" w:type="dxa"/>
          </w:tcPr>
          <w:p w14:paraId="2A70EF3A"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20.8% (11/53)</w:t>
            </w:r>
          </w:p>
        </w:tc>
        <w:tc>
          <w:tcPr>
            <w:tcW w:w="1191" w:type="dxa"/>
          </w:tcPr>
          <w:p w14:paraId="49963E97"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24.7% (37/150)</w:t>
            </w:r>
          </w:p>
        </w:tc>
        <w:tc>
          <w:tcPr>
            <w:tcW w:w="1201" w:type="dxa"/>
          </w:tcPr>
          <w:p w14:paraId="23EBFB60"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49.3% (99/201)</w:t>
            </w:r>
          </w:p>
        </w:tc>
        <w:tc>
          <w:tcPr>
            <w:tcW w:w="1179" w:type="dxa"/>
          </w:tcPr>
          <w:p w14:paraId="2F176785"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4.2%</w:t>
            </w:r>
          </w:p>
          <w:p w14:paraId="2FEB2465"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14/333</w:t>
            </w:r>
            <w:r>
              <w:rPr>
                <w:rFonts w:ascii="Times New Roman" w:hAnsi="Times New Roman" w:cs="Times New Roman" w:hint="eastAsia"/>
              </w:rPr>
              <w:t>)</w:t>
            </w:r>
          </w:p>
        </w:tc>
        <w:tc>
          <w:tcPr>
            <w:tcW w:w="1189" w:type="dxa"/>
          </w:tcPr>
          <w:p w14:paraId="6AE010AE"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17.6%</w:t>
            </w:r>
          </w:p>
          <w:p w14:paraId="30ECC2D2"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13/74</w:t>
            </w:r>
            <w:r>
              <w:rPr>
                <w:rFonts w:ascii="Times New Roman" w:hAnsi="Times New Roman" w:cs="Times New Roman" w:hint="eastAsia"/>
              </w:rPr>
              <w:t>)</w:t>
            </w:r>
          </w:p>
        </w:tc>
        <w:tc>
          <w:tcPr>
            <w:tcW w:w="1189" w:type="dxa"/>
          </w:tcPr>
          <w:p w14:paraId="05FAC371"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73.7%</w:t>
            </w:r>
          </w:p>
          <w:p w14:paraId="00286EAB"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28/38</w:t>
            </w:r>
            <w:r>
              <w:rPr>
                <w:rFonts w:ascii="Times New Roman" w:hAnsi="Times New Roman" w:cs="Times New Roman" w:hint="eastAsia"/>
              </w:rPr>
              <w:t>)</w:t>
            </w:r>
          </w:p>
        </w:tc>
      </w:tr>
      <w:tr w:rsidR="00A87A85" w:rsidRPr="00637A83" w14:paraId="519D8946" w14:textId="77777777" w:rsidTr="00030298">
        <w:tc>
          <w:tcPr>
            <w:tcW w:w="1166" w:type="dxa"/>
          </w:tcPr>
          <w:p w14:paraId="302BA8BA"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 65 years</w:t>
            </w:r>
          </w:p>
        </w:tc>
        <w:tc>
          <w:tcPr>
            <w:tcW w:w="1181" w:type="dxa"/>
          </w:tcPr>
          <w:p w14:paraId="15F4B43A"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20.4% (11/54)</w:t>
            </w:r>
          </w:p>
        </w:tc>
        <w:tc>
          <w:tcPr>
            <w:tcW w:w="1191" w:type="dxa"/>
          </w:tcPr>
          <w:p w14:paraId="67B2C193"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28.7% (77/268)</w:t>
            </w:r>
          </w:p>
        </w:tc>
        <w:tc>
          <w:tcPr>
            <w:tcW w:w="1201" w:type="dxa"/>
          </w:tcPr>
          <w:p w14:paraId="4FB9208F"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64.6% (133/206)</w:t>
            </w:r>
          </w:p>
        </w:tc>
        <w:tc>
          <w:tcPr>
            <w:tcW w:w="1179" w:type="dxa"/>
          </w:tcPr>
          <w:p w14:paraId="0C22E6F8"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3.4%</w:t>
            </w:r>
          </w:p>
          <w:p w14:paraId="3203637A"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16/465</w:t>
            </w:r>
            <w:r>
              <w:rPr>
                <w:rFonts w:ascii="Times New Roman" w:hAnsi="Times New Roman" w:cs="Times New Roman" w:hint="eastAsia"/>
              </w:rPr>
              <w:t>)</w:t>
            </w:r>
          </w:p>
        </w:tc>
        <w:tc>
          <w:tcPr>
            <w:tcW w:w="1189" w:type="dxa"/>
          </w:tcPr>
          <w:p w14:paraId="470C1FAE"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16.8%</w:t>
            </w:r>
          </w:p>
          <w:p w14:paraId="37282051"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17/101</w:t>
            </w:r>
            <w:r>
              <w:rPr>
                <w:rFonts w:ascii="Times New Roman" w:hAnsi="Times New Roman" w:cs="Times New Roman" w:hint="eastAsia"/>
              </w:rPr>
              <w:t>)</w:t>
            </w:r>
          </w:p>
        </w:tc>
        <w:tc>
          <w:tcPr>
            <w:tcW w:w="1189" w:type="dxa"/>
          </w:tcPr>
          <w:p w14:paraId="196C8F8E"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69.3%</w:t>
            </w:r>
          </w:p>
          <w:p w14:paraId="74CC030A"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61/88</w:t>
            </w:r>
            <w:r>
              <w:rPr>
                <w:rFonts w:ascii="Times New Roman" w:hAnsi="Times New Roman" w:cs="Times New Roman" w:hint="eastAsia"/>
              </w:rPr>
              <w:t>)</w:t>
            </w:r>
          </w:p>
        </w:tc>
      </w:tr>
    </w:tbl>
    <w:p w14:paraId="23A818F9" w14:textId="77777777" w:rsidR="00A87A85" w:rsidRPr="003E7C69" w:rsidRDefault="00A87A85" w:rsidP="00A87A85">
      <w:pPr>
        <w:rPr>
          <w:rFonts w:ascii="Times New Roman" w:hAnsi="Times New Roman" w:cs="Times New Roman"/>
          <w:sz w:val="20"/>
          <w:szCs w:val="21"/>
        </w:rPr>
      </w:pPr>
      <w:r w:rsidRPr="003E7C69">
        <w:rPr>
          <w:rFonts w:ascii="Times New Roman" w:hAnsi="Times New Roman" w:cs="Times New Roman" w:hint="eastAsia"/>
          <w:sz w:val="20"/>
          <w:szCs w:val="21"/>
        </w:rPr>
        <w:t xml:space="preserve">Note: Data are presented as resistance proportion (%), with the number of resistant isolates divided by the total number of isolates of the corresponding bacterial species shown in parentheses (n/N). </w:t>
      </w:r>
      <w:r w:rsidRPr="003E7C69">
        <w:rPr>
          <w:rFonts w:ascii="Times New Roman" w:hAnsi="Times New Roman" w:cs="Times New Roman"/>
          <w:sz w:val="20"/>
          <w:szCs w:val="21"/>
        </w:rPr>
        <w:t xml:space="preserve">ESBL-EC, extended-spectrum β-lactamase-producing </w:t>
      </w:r>
      <w:r w:rsidRPr="003E7C69">
        <w:rPr>
          <w:rFonts w:ascii="Times New Roman" w:hAnsi="Times New Roman" w:cs="Times New Roman"/>
          <w:i/>
          <w:iCs/>
          <w:sz w:val="20"/>
          <w:szCs w:val="21"/>
        </w:rPr>
        <w:t>E. coli</w:t>
      </w:r>
      <w:r w:rsidRPr="003E7C69">
        <w:rPr>
          <w:rFonts w:ascii="Times New Roman" w:hAnsi="Times New Roman" w:cs="Times New Roman"/>
          <w:sz w:val="20"/>
          <w:szCs w:val="21"/>
        </w:rPr>
        <w:t xml:space="preserve">; ESBL-KP, extended-spectrum β-lactamase-producing </w:t>
      </w:r>
      <w:r w:rsidRPr="003E7C69">
        <w:rPr>
          <w:rFonts w:ascii="Times New Roman" w:hAnsi="Times New Roman" w:cs="Times New Roman"/>
          <w:i/>
          <w:iCs/>
          <w:sz w:val="20"/>
          <w:szCs w:val="21"/>
        </w:rPr>
        <w:t>K. pneumoniae</w:t>
      </w:r>
      <w:r w:rsidRPr="003E7C69">
        <w:rPr>
          <w:rFonts w:ascii="Times New Roman" w:hAnsi="Times New Roman" w:cs="Times New Roman" w:hint="eastAsia"/>
          <w:sz w:val="20"/>
          <w:szCs w:val="21"/>
        </w:rPr>
        <w:t>.</w:t>
      </w:r>
    </w:p>
    <w:p w14:paraId="02D2DA6F" w14:textId="77777777" w:rsidR="00A87A85" w:rsidRPr="004539F3" w:rsidRDefault="00A87A85" w:rsidP="00A87A85">
      <w:pPr>
        <w:rPr>
          <w:rFonts w:ascii="Times New Roman" w:hAnsi="Times New Roman" w:cs="Times New Roman"/>
        </w:rPr>
      </w:pPr>
    </w:p>
    <w:p w14:paraId="6E127CDC" w14:textId="77777777" w:rsidR="00A87A85" w:rsidRPr="004539F3" w:rsidRDefault="00A87A85" w:rsidP="00A87A85">
      <w:pPr>
        <w:rPr>
          <w:rFonts w:ascii="Times New Roman" w:hAnsi="Times New Roman" w:cs="Times New Roman"/>
        </w:rPr>
      </w:pPr>
      <w:r w:rsidRPr="004539F3">
        <w:rPr>
          <w:rFonts w:ascii="Times New Roman" w:hAnsi="Times New Roman" w:cs="Times New Roman" w:hint="eastAsia"/>
        </w:rPr>
        <w:t>Table S6. Proportions of antimicrobial-resistant isolates among the corresponding bacterial species stratified by specimen type.</w:t>
      </w:r>
    </w:p>
    <w:tbl>
      <w:tblPr>
        <w:tblStyle w:val="af2"/>
        <w:tblW w:w="0" w:type="auto"/>
        <w:tblLook w:val="04A0" w:firstRow="1" w:lastRow="0" w:firstColumn="1" w:lastColumn="0" w:noHBand="0" w:noVBand="1"/>
      </w:tblPr>
      <w:tblGrid>
        <w:gridCol w:w="1273"/>
        <w:gridCol w:w="1173"/>
        <w:gridCol w:w="1173"/>
        <w:gridCol w:w="1173"/>
        <w:gridCol w:w="1160"/>
        <w:gridCol w:w="1173"/>
        <w:gridCol w:w="1171"/>
      </w:tblGrid>
      <w:tr w:rsidR="00A87A85" w:rsidRPr="00637A83" w14:paraId="03884572" w14:textId="77777777" w:rsidTr="00030298">
        <w:tc>
          <w:tcPr>
            <w:tcW w:w="1273" w:type="dxa"/>
          </w:tcPr>
          <w:p w14:paraId="564CE807" w14:textId="77777777" w:rsidR="00A87A85" w:rsidRPr="004539F3" w:rsidRDefault="00A87A85" w:rsidP="00030298">
            <w:pPr>
              <w:jc w:val="center"/>
              <w:rPr>
                <w:rFonts w:ascii="Times New Roman" w:hAnsi="Times New Roman" w:cs="Times New Roman"/>
              </w:rPr>
            </w:pPr>
          </w:p>
        </w:tc>
        <w:tc>
          <w:tcPr>
            <w:tcW w:w="1173" w:type="dxa"/>
          </w:tcPr>
          <w:p w14:paraId="5F6E38DF"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MRSA</w:t>
            </w:r>
          </w:p>
        </w:tc>
        <w:tc>
          <w:tcPr>
            <w:tcW w:w="1173" w:type="dxa"/>
          </w:tcPr>
          <w:p w14:paraId="2288A52B"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ESBL-KP</w:t>
            </w:r>
          </w:p>
        </w:tc>
        <w:tc>
          <w:tcPr>
            <w:tcW w:w="1173" w:type="dxa"/>
          </w:tcPr>
          <w:p w14:paraId="6F353A82"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ESBL-EC</w:t>
            </w:r>
          </w:p>
        </w:tc>
        <w:tc>
          <w:tcPr>
            <w:tcW w:w="1160" w:type="dxa"/>
          </w:tcPr>
          <w:p w14:paraId="68128FE6"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CRE</w:t>
            </w:r>
          </w:p>
        </w:tc>
        <w:tc>
          <w:tcPr>
            <w:tcW w:w="1173" w:type="dxa"/>
          </w:tcPr>
          <w:p w14:paraId="2B27625E"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CRPA</w:t>
            </w:r>
          </w:p>
        </w:tc>
        <w:tc>
          <w:tcPr>
            <w:tcW w:w="1171" w:type="dxa"/>
          </w:tcPr>
          <w:p w14:paraId="20F574A3"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CRAB</w:t>
            </w:r>
          </w:p>
        </w:tc>
      </w:tr>
      <w:tr w:rsidR="00A87A85" w:rsidRPr="00637A83" w14:paraId="46C5DA72" w14:textId="77777777" w:rsidTr="00030298">
        <w:tc>
          <w:tcPr>
            <w:tcW w:w="1273" w:type="dxa"/>
          </w:tcPr>
          <w:p w14:paraId="1DDCCAAF"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Respiratory tract</w:t>
            </w:r>
          </w:p>
        </w:tc>
        <w:tc>
          <w:tcPr>
            <w:tcW w:w="1173" w:type="dxa"/>
          </w:tcPr>
          <w:p w14:paraId="3A584BC1"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18.2%</w:t>
            </w:r>
          </w:p>
          <w:p w14:paraId="685EFD15"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12/66</w:t>
            </w:r>
            <w:r>
              <w:rPr>
                <w:rFonts w:ascii="Times New Roman" w:hAnsi="Times New Roman" w:cs="Times New Roman" w:hint="eastAsia"/>
              </w:rPr>
              <w:t>)</w:t>
            </w:r>
          </w:p>
        </w:tc>
        <w:tc>
          <w:tcPr>
            <w:tcW w:w="1173" w:type="dxa"/>
          </w:tcPr>
          <w:p w14:paraId="1F2003E5"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34.2%</w:t>
            </w:r>
          </w:p>
          <w:p w14:paraId="2A4225EF"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125/366</w:t>
            </w:r>
            <w:r>
              <w:rPr>
                <w:rFonts w:ascii="Times New Roman" w:hAnsi="Times New Roman" w:cs="Times New Roman" w:hint="eastAsia"/>
              </w:rPr>
              <w:t>)</w:t>
            </w:r>
          </w:p>
        </w:tc>
        <w:tc>
          <w:tcPr>
            <w:tcW w:w="1173" w:type="dxa"/>
          </w:tcPr>
          <w:p w14:paraId="46B60F13"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58.8%</w:t>
            </w:r>
          </w:p>
          <w:p w14:paraId="516D302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57/97</w:t>
            </w:r>
            <w:r>
              <w:rPr>
                <w:rFonts w:ascii="Times New Roman" w:hAnsi="Times New Roman" w:cs="Times New Roman" w:hint="eastAsia"/>
              </w:rPr>
              <w:t>)</w:t>
            </w:r>
          </w:p>
        </w:tc>
        <w:tc>
          <w:tcPr>
            <w:tcW w:w="1160" w:type="dxa"/>
          </w:tcPr>
          <w:p w14:paraId="64DD49B8"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4.7%</w:t>
            </w:r>
          </w:p>
          <w:p w14:paraId="1861F3DC"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21/445</w:t>
            </w:r>
            <w:r>
              <w:rPr>
                <w:rFonts w:ascii="Times New Roman" w:hAnsi="Times New Roman" w:cs="Times New Roman" w:hint="eastAsia"/>
              </w:rPr>
              <w:t>)</w:t>
            </w:r>
          </w:p>
        </w:tc>
        <w:tc>
          <w:tcPr>
            <w:tcW w:w="1173" w:type="dxa"/>
          </w:tcPr>
          <w:p w14:paraId="00D4F480"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18.2%</w:t>
            </w:r>
          </w:p>
          <w:p w14:paraId="04B4811C"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31/170</w:t>
            </w:r>
            <w:r>
              <w:rPr>
                <w:rFonts w:ascii="Times New Roman" w:hAnsi="Times New Roman" w:cs="Times New Roman" w:hint="eastAsia"/>
              </w:rPr>
              <w:t>)</w:t>
            </w:r>
          </w:p>
        </w:tc>
        <w:tc>
          <w:tcPr>
            <w:tcW w:w="1171" w:type="dxa"/>
          </w:tcPr>
          <w:p w14:paraId="1BC9C1E7"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71.5%</w:t>
            </w:r>
          </w:p>
          <w:p w14:paraId="262078C5"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93/130</w:t>
            </w:r>
            <w:r>
              <w:rPr>
                <w:rFonts w:ascii="Times New Roman" w:hAnsi="Times New Roman" w:cs="Times New Roman" w:hint="eastAsia"/>
              </w:rPr>
              <w:t>)</w:t>
            </w:r>
          </w:p>
        </w:tc>
      </w:tr>
      <w:tr w:rsidR="00A87A85" w:rsidRPr="00637A83" w14:paraId="490C7BCC" w14:textId="77777777" w:rsidTr="00030298">
        <w:tc>
          <w:tcPr>
            <w:tcW w:w="1273" w:type="dxa"/>
          </w:tcPr>
          <w:p w14:paraId="2F5A2470"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Wound/pus</w:t>
            </w:r>
          </w:p>
        </w:tc>
        <w:tc>
          <w:tcPr>
            <w:tcW w:w="1173" w:type="dxa"/>
          </w:tcPr>
          <w:p w14:paraId="3034B6C1"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21.4%</w:t>
            </w:r>
          </w:p>
          <w:p w14:paraId="7153CA53"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22/103</w:t>
            </w:r>
            <w:r>
              <w:rPr>
                <w:rFonts w:ascii="Times New Roman" w:hAnsi="Times New Roman" w:cs="Times New Roman" w:hint="eastAsia"/>
              </w:rPr>
              <w:t>)</w:t>
            </w:r>
          </w:p>
        </w:tc>
        <w:tc>
          <w:tcPr>
            <w:tcW w:w="1173" w:type="dxa"/>
          </w:tcPr>
          <w:p w14:paraId="3685C58B"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36.6%</w:t>
            </w:r>
          </w:p>
          <w:p w14:paraId="44F834D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15/41</w:t>
            </w:r>
            <w:r>
              <w:rPr>
                <w:rFonts w:ascii="Times New Roman" w:hAnsi="Times New Roman" w:cs="Times New Roman" w:hint="eastAsia"/>
              </w:rPr>
              <w:t>)</w:t>
            </w:r>
          </w:p>
        </w:tc>
        <w:tc>
          <w:tcPr>
            <w:tcW w:w="1173" w:type="dxa"/>
          </w:tcPr>
          <w:p w14:paraId="01102A06"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54.4%</w:t>
            </w:r>
          </w:p>
          <w:p w14:paraId="6428DCB4"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86/158</w:t>
            </w:r>
            <w:r>
              <w:rPr>
                <w:rFonts w:ascii="Times New Roman" w:hAnsi="Times New Roman" w:cs="Times New Roman" w:hint="eastAsia"/>
              </w:rPr>
              <w:t>)</w:t>
            </w:r>
          </w:p>
        </w:tc>
        <w:tc>
          <w:tcPr>
            <w:tcW w:w="1160" w:type="dxa"/>
          </w:tcPr>
          <w:p w14:paraId="0EA7CBE6"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2.1%</w:t>
            </w:r>
          </w:p>
          <w:p w14:paraId="5645E1B6"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4/195</w:t>
            </w:r>
            <w:r>
              <w:rPr>
                <w:rFonts w:ascii="Times New Roman" w:hAnsi="Times New Roman" w:cs="Times New Roman" w:hint="eastAsia"/>
              </w:rPr>
              <w:t>)</w:t>
            </w:r>
          </w:p>
        </w:tc>
        <w:tc>
          <w:tcPr>
            <w:tcW w:w="1173" w:type="dxa"/>
          </w:tcPr>
          <w:p w14:paraId="51F0F4EF"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13.6%</w:t>
            </w:r>
          </w:p>
          <w:p w14:paraId="23F14B4B"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3/22</w:t>
            </w:r>
            <w:r>
              <w:rPr>
                <w:rFonts w:ascii="Times New Roman" w:hAnsi="Times New Roman" w:cs="Times New Roman" w:hint="eastAsia"/>
              </w:rPr>
              <w:t>)</w:t>
            </w:r>
          </w:p>
        </w:tc>
        <w:tc>
          <w:tcPr>
            <w:tcW w:w="1171" w:type="dxa"/>
          </w:tcPr>
          <w:p w14:paraId="7AE2473F"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75</w:t>
            </w:r>
            <w:r>
              <w:rPr>
                <w:rFonts w:ascii="Times New Roman" w:hAnsi="Times New Roman" w:cs="Times New Roman" w:hint="eastAsia"/>
              </w:rPr>
              <w:t>.0</w:t>
            </w:r>
            <w:r w:rsidRPr="008033EF">
              <w:rPr>
                <w:rFonts w:ascii="Times New Roman" w:hAnsi="Times New Roman" w:cs="Times New Roman"/>
              </w:rPr>
              <w:t>%</w:t>
            </w:r>
          </w:p>
          <w:p w14:paraId="55D43545"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3/4</w:t>
            </w:r>
            <w:r>
              <w:rPr>
                <w:rFonts w:ascii="Times New Roman" w:hAnsi="Times New Roman" w:cs="Times New Roman" w:hint="eastAsia"/>
              </w:rPr>
              <w:t>)</w:t>
            </w:r>
          </w:p>
        </w:tc>
      </w:tr>
      <w:tr w:rsidR="00A87A85" w:rsidRPr="00637A83" w14:paraId="27CBCF36" w14:textId="77777777" w:rsidTr="00030298">
        <w:tc>
          <w:tcPr>
            <w:tcW w:w="1273" w:type="dxa"/>
          </w:tcPr>
          <w:p w14:paraId="7EF611E1"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Urinary tract</w:t>
            </w:r>
          </w:p>
        </w:tc>
        <w:tc>
          <w:tcPr>
            <w:tcW w:w="1173" w:type="dxa"/>
          </w:tcPr>
          <w:p w14:paraId="4118DD99"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50.0%</w:t>
            </w:r>
          </w:p>
          <w:p w14:paraId="71FA0FF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2/4</w:t>
            </w:r>
            <w:r>
              <w:rPr>
                <w:rFonts w:ascii="Times New Roman" w:hAnsi="Times New Roman" w:cs="Times New Roman" w:hint="eastAsia"/>
              </w:rPr>
              <w:t>)</w:t>
            </w:r>
          </w:p>
        </w:tc>
        <w:tc>
          <w:tcPr>
            <w:tcW w:w="1173" w:type="dxa"/>
          </w:tcPr>
          <w:p w14:paraId="214391AF"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52.4%</w:t>
            </w:r>
          </w:p>
          <w:p w14:paraId="3838B254"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22/42</w:t>
            </w:r>
            <w:r>
              <w:rPr>
                <w:rFonts w:ascii="Times New Roman" w:hAnsi="Times New Roman" w:cs="Times New Roman" w:hint="eastAsia"/>
              </w:rPr>
              <w:t>)</w:t>
            </w:r>
          </w:p>
        </w:tc>
        <w:tc>
          <w:tcPr>
            <w:tcW w:w="1173" w:type="dxa"/>
          </w:tcPr>
          <w:p w14:paraId="721E0C7D"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58.0%</w:t>
            </w:r>
          </w:p>
          <w:p w14:paraId="05D21EA9"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102/176</w:t>
            </w:r>
            <w:r>
              <w:rPr>
                <w:rFonts w:ascii="Times New Roman" w:hAnsi="Times New Roman" w:cs="Times New Roman" w:hint="eastAsia"/>
              </w:rPr>
              <w:t>)</w:t>
            </w:r>
          </w:p>
        </w:tc>
        <w:tc>
          <w:tcPr>
            <w:tcW w:w="1160" w:type="dxa"/>
          </w:tcPr>
          <w:p w14:paraId="68EEE7A0"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2.8%</w:t>
            </w:r>
          </w:p>
          <w:p w14:paraId="3038C1BD"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6/212</w:t>
            </w:r>
            <w:r>
              <w:rPr>
                <w:rFonts w:ascii="Times New Roman" w:hAnsi="Times New Roman" w:cs="Times New Roman" w:hint="eastAsia"/>
              </w:rPr>
              <w:t>)</w:t>
            </w:r>
          </w:p>
        </w:tc>
        <w:tc>
          <w:tcPr>
            <w:tcW w:w="1173" w:type="dxa"/>
          </w:tcPr>
          <w:p w14:paraId="0C6D369F"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0.0%</w:t>
            </w:r>
          </w:p>
          <w:p w14:paraId="54D525C3"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0/2</w:t>
            </w:r>
            <w:r>
              <w:rPr>
                <w:rFonts w:ascii="Times New Roman" w:hAnsi="Times New Roman" w:cs="Times New Roman" w:hint="eastAsia"/>
              </w:rPr>
              <w:t>)</w:t>
            </w:r>
          </w:p>
        </w:tc>
        <w:tc>
          <w:tcPr>
            <w:tcW w:w="1171" w:type="dxa"/>
          </w:tcPr>
          <w:p w14:paraId="101685EE"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33.3%</w:t>
            </w:r>
          </w:p>
          <w:p w14:paraId="4B1CB801"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1/3</w:t>
            </w:r>
            <w:r>
              <w:rPr>
                <w:rFonts w:ascii="Times New Roman" w:hAnsi="Times New Roman" w:cs="Times New Roman" w:hint="eastAsia"/>
              </w:rPr>
              <w:t>)</w:t>
            </w:r>
          </w:p>
        </w:tc>
      </w:tr>
      <w:tr w:rsidR="00A87A85" w:rsidRPr="00637A83" w14:paraId="22A0B0F7" w14:textId="77777777" w:rsidTr="00030298">
        <w:tc>
          <w:tcPr>
            <w:tcW w:w="1273" w:type="dxa"/>
          </w:tcPr>
          <w:p w14:paraId="50D92415"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Blood</w:t>
            </w:r>
          </w:p>
        </w:tc>
        <w:tc>
          <w:tcPr>
            <w:tcW w:w="1173" w:type="dxa"/>
          </w:tcPr>
          <w:p w14:paraId="354A0ED3"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27.3%</w:t>
            </w:r>
          </w:p>
          <w:p w14:paraId="75277C4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3/11</w:t>
            </w:r>
            <w:r>
              <w:rPr>
                <w:rFonts w:ascii="Times New Roman" w:hAnsi="Times New Roman" w:cs="Times New Roman" w:hint="eastAsia"/>
              </w:rPr>
              <w:t>)</w:t>
            </w:r>
          </w:p>
        </w:tc>
        <w:tc>
          <w:tcPr>
            <w:tcW w:w="1173" w:type="dxa"/>
          </w:tcPr>
          <w:p w14:paraId="06D7C8E0"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32.0%</w:t>
            </w:r>
          </w:p>
          <w:p w14:paraId="1F41F073"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8/25</w:t>
            </w:r>
            <w:r>
              <w:rPr>
                <w:rFonts w:ascii="Times New Roman" w:hAnsi="Times New Roman" w:cs="Times New Roman" w:hint="eastAsia"/>
              </w:rPr>
              <w:t>)</w:t>
            </w:r>
          </w:p>
        </w:tc>
        <w:tc>
          <w:tcPr>
            <w:tcW w:w="1173" w:type="dxa"/>
          </w:tcPr>
          <w:p w14:paraId="3FB232A9"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57.1%</w:t>
            </w:r>
          </w:p>
          <w:p w14:paraId="324E50CA"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28/49</w:t>
            </w:r>
            <w:r>
              <w:rPr>
                <w:rFonts w:ascii="Times New Roman" w:hAnsi="Times New Roman" w:cs="Times New Roman" w:hint="eastAsia"/>
              </w:rPr>
              <w:t>)</w:t>
            </w:r>
          </w:p>
        </w:tc>
        <w:tc>
          <w:tcPr>
            <w:tcW w:w="1160" w:type="dxa"/>
          </w:tcPr>
          <w:p w14:paraId="017E3598"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1.5%</w:t>
            </w:r>
          </w:p>
          <w:p w14:paraId="61DAC462"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1/66</w:t>
            </w:r>
            <w:r>
              <w:rPr>
                <w:rFonts w:ascii="Times New Roman" w:hAnsi="Times New Roman" w:cs="Times New Roman" w:hint="eastAsia"/>
              </w:rPr>
              <w:t>)</w:t>
            </w:r>
          </w:p>
        </w:tc>
        <w:tc>
          <w:tcPr>
            <w:tcW w:w="1173" w:type="dxa"/>
          </w:tcPr>
          <w:p w14:paraId="20ACDE56"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0.0%</w:t>
            </w:r>
          </w:p>
          <w:p w14:paraId="22DA5C6A"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0/4</w:t>
            </w:r>
            <w:r>
              <w:rPr>
                <w:rFonts w:ascii="Times New Roman" w:hAnsi="Times New Roman" w:cs="Times New Roman" w:hint="eastAsia"/>
              </w:rPr>
              <w:t>)</w:t>
            </w:r>
          </w:p>
        </w:tc>
        <w:tc>
          <w:tcPr>
            <w:tcW w:w="1171" w:type="dxa"/>
          </w:tcPr>
          <w:p w14:paraId="2E1819D0"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66.7%</w:t>
            </w:r>
          </w:p>
          <w:p w14:paraId="6DA30917"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2/3</w:t>
            </w:r>
            <w:r>
              <w:rPr>
                <w:rFonts w:ascii="Times New Roman" w:hAnsi="Times New Roman" w:cs="Times New Roman" w:hint="eastAsia"/>
              </w:rPr>
              <w:t>)</w:t>
            </w:r>
          </w:p>
        </w:tc>
      </w:tr>
      <w:tr w:rsidR="00A87A85" w:rsidRPr="00637A83" w14:paraId="0913CF96" w14:textId="77777777" w:rsidTr="00030298">
        <w:tc>
          <w:tcPr>
            <w:tcW w:w="1273" w:type="dxa"/>
          </w:tcPr>
          <w:p w14:paraId="09B1C615" w14:textId="77777777" w:rsidR="00A87A85" w:rsidRPr="004539F3" w:rsidRDefault="00A87A85" w:rsidP="00030298">
            <w:pPr>
              <w:jc w:val="center"/>
              <w:rPr>
                <w:rFonts w:ascii="Times New Roman" w:hAnsi="Times New Roman" w:cs="Times New Roman"/>
              </w:rPr>
            </w:pPr>
            <w:r w:rsidRPr="008033EF">
              <w:rPr>
                <w:rFonts w:ascii="Times New Roman" w:hAnsi="Times New Roman" w:cs="Times New Roman"/>
              </w:rPr>
              <w:t>Sterile body fluids</w:t>
            </w:r>
          </w:p>
        </w:tc>
        <w:tc>
          <w:tcPr>
            <w:tcW w:w="1173" w:type="dxa"/>
          </w:tcPr>
          <w:p w14:paraId="0408B8A6"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16.7%</w:t>
            </w:r>
          </w:p>
          <w:p w14:paraId="5DA06170"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1/6</w:t>
            </w:r>
            <w:r>
              <w:rPr>
                <w:rFonts w:ascii="Times New Roman" w:hAnsi="Times New Roman" w:cs="Times New Roman" w:hint="eastAsia"/>
              </w:rPr>
              <w:t>)</w:t>
            </w:r>
          </w:p>
        </w:tc>
        <w:tc>
          <w:tcPr>
            <w:tcW w:w="1173" w:type="dxa"/>
          </w:tcPr>
          <w:p w14:paraId="6CC6FB2C"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29.4%</w:t>
            </w:r>
          </w:p>
          <w:p w14:paraId="289EBFFF"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10/34</w:t>
            </w:r>
            <w:r>
              <w:rPr>
                <w:rFonts w:ascii="Times New Roman" w:hAnsi="Times New Roman" w:cs="Times New Roman" w:hint="eastAsia"/>
              </w:rPr>
              <w:t>)</w:t>
            </w:r>
          </w:p>
        </w:tc>
        <w:tc>
          <w:tcPr>
            <w:tcW w:w="1173" w:type="dxa"/>
          </w:tcPr>
          <w:p w14:paraId="6D385A99"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45.8%</w:t>
            </w:r>
          </w:p>
          <w:p w14:paraId="25F88BEE"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33/72</w:t>
            </w:r>
            <w:r>
              <w:rPr>
                <w:rFonts w:ascii="Times New Roman" w:hAnsi="Times New Roman" w:cs="Times New Roman" w:hint="eastAsia"/>
              </w:rPr>
              <w:t>)</w:t>
            </w:r>
          </w:p>
        </w:tc>
        <w:tc>
          <w:tcPr>
            <w:tcW w:w="1160" w:type="dxa"/>
          </w:tcPr>
          <w:p w14:paraId="4B1CF61D"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4.8%</w:t>
            </w:r>
          </w:p>
          <w:p w14:paraId="311A8968"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5/105</w:t>
            </w:r>
            <w:r>
              <w:rPr>
                <w:rFonts w:ascii="Times New Roman" w:hAnsi="Times New Roman" w:cs="Times New Roman" w:hint="eastAsia"/>
              </w:rPr>
              <w:t>)</w:t>
            </w:r>
          </w:p>
        </w:tc>
        <w:tc>
          <w:tcPr>
            <w:tcW w:w="1173" w:type="dxa"/>
          </w:tcPr>
          <w:p w14:paraId="62163093"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0.0%</w:t>
            </w:r>
          </w:p>
          <w:p w14:paraId="0852506C"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0/9</w:t>
            </w:r>
            <w:r>
              <w:rPr>
                <w:rFonts w:ascii="Times New Roman" w:hAnsi="Times New Roman" w:cs="Times New Roman" w:hint="eastAsia"/>
              </w:rPr>
              <w:t>)</w:t>
            </w:r>
          </w:p>
        </w:tc>
        <w:tc>
          <w:tcPr>
            <w:tcW w:w="1171" w:type="dxa"/>
          </w:tcPr>
          <w:p w14:paraId="58E3EA9E" w14:textId="77777777" w:rsidR="00A87A85" w:rsidRDefault="00A87A85" w:rsidP="00030298">
            <w:pPr>
              <w:jc w:val="center"/>
              <w:rPr>
                <w:rFonts w:ascii="Times New Roman" w:hAnsi="Times New Roman" w:cs="Times New Roman"/>
              </w:rPr>
            </w:pPr>
            <w:r w:rsidRPr="008033EF">
              <w:rPr>
                <w:rFonts w:ascii="Times New Roman" w:hAnsi="Times New Roman" w:cs="Times New Roman"/>
              </w:rPr>
              <w:t>80.0%</w:t>
            </w:r>
          </w:p>
          <w:p w14:paraId="3AAC8FC2" w14:textId="77777777" w:rsidR="00A87A85" w:rsidRPr="004539F3" w:rsidRDefault="00A87A85" w:rsidP="00030298">
            <w:pPr>
              <w:jc w:val="center"/>
              <w:rPr>
                <w:rFonts w:ascii="Times New Roman" w:hAnsi="Times New Roman" w:cs="Times New Roman"/>
              </w:rPr>
            </w:pPr>
            <w:r>
              <w:rPr>
                <w:rFonts w:ascii="Times New Roman" w:hAnsi="Times New Roman" w:cs="Times New Roman" w:hint="eastAsia"/>
              </w:rPr>
              <w:t>(</w:t>
            </w:r>
            <w:r w:rsidRPr="008033EF">
              <w:rPr>
                <w:rFonts w:ascii="Times New Roman" w:hAnsi="Times New Roman" w:cs="Times New Roman"/>
              </w:rPr>
              <w:t>4/5</w:t>
            </w:r>
            <w:r>
              <w:rPr>
                <w:rFonts w:ascii="Times New Roman" w:hAnsi="Times New Roman" w:cs="Times New Roman" w:hint="eastAsia"/>
              </w:rPr>
              <w:t>)</w:t>
            </w:r>
          </w:p>
        </w:tc>
      </w:tr>
    </w:tbl>
    <w:p w14:paraId="580F5341" w14:textId="77777777" w:rsidR="00A87A85" w:rsidRPr="003E7C69" w:rsidRDefault="00A87A85" w:rsidP="00A87A85">
      <w:pPr>
        <w:rPr>
          <w:rFonts w:ascii="Times New Roman" w:hAnsi="Times New Roman" w:cs="Times New Roman"/>
          <w:sz w:val="20"/>
          <w:szCs w:val="21"/>
        </w:rPr>
      </w:pPr>
      <w:r w:rsidRPr="003E7C69">
        <w:rPr>
          <w:rFonts w:ascii="Times New Roman" w:hAnsi="Times New Roman" w:cs="Times New Roman" w:hint="eastAsia"/>
          <w:sz w:val="20"/>
          <w:szCs w:val="21"/>
        </w:rPr>
        <w:lastRenderedPageBreak/>
        <w:t xml:space="preserve">Note: Data are presented as resistance proportion (%), with the number of resistant isolates divided by the total number of isolates of the corresponding bacterial species shown in parentheses (n/N). </w:t>
      </w:r>
      <w:r w:rsidRPr="003E7C69">
        <w:rPr>
          <w:rFonts w:ascii="Times New Roman" w:hAnsi="Times New Roman" w:cs="Times New Roman"/>
          <w:sz w:val="20"/>
          <w:szCs w:val="21"/>
        </w:rPr>
        <w:t xml:space="preserve">ESBL-EC, extended-spectrum β-lactamase-producing </w:t>
      </w:r>
      <w:r w:rsidRPr="003E7C69">
        <w:rPr>
          <w:rFonts w:ascii="Times New Roman" w:hAnsi="Times New Roman" w:cs="Times New Roman"/>
          <w:i/>
          <w:iCs/>
          <w:sz w:val="20"/>
          <w:szCs w:val="21"/>
        </w:rPr>
        <w:t>E. coli</w:t>
      </w:r>
      <w:r w:rsidRPr="003E7C69">
        <w:rPr>
          <w:rFonts w:ascii="Times New Roman" w:hAnsi="Times New Roman" w:cs="Times New Roman"/>
          <w:sz w:val="20"/>
          <w:szCs w:val="21"/>
        </w:rPr>
        <w:t xml:space="preserve">; ESBL-KP, extended-spectrum β-lactamase-producing </w:t>
      </w:r>
      <w:r w:rsidRPr="003E7C69">
        <w:rPr>
          <w:rFonts w:ascii="Times New Roman" w:hAnsi="Times New Roman" w:cs="Times New Roman"/>
          <w:i/>
          <w:iCs/>
          <w:sz w:val="20"/>
          <w:szCs w:val="21"/>
        </w:rPr>
        <w:t>K. pneumoniae</w:t>
      </w:r>
      <w:r w:rsidRPr="003E7C69">
        <w:rPr>
          <w:rFonts w:ascii="Times New Roman" w:hAnsi="Times New Roman" w:cs="Times New Roman" w:hint="eastAsia"/>
          <w:sz w:val="20"/>
          <w:szCs w:val="21"/>
        </w:rPr>
        <w:t>.</w:t>
      </w:r>
    </w:p>
    <w:p w14:paraId="493FD633" w14:textId="77777777" w:rsidR="00013D99" w:rsidRPr="00A87A85" w:rsidRDefault="00013D99">
      <w:pPr>
        <w:rPr>
          <w:rFonts w:hint="eastAsia"/>
        </w:rPr>
      </w:pPr>
    </w:p>
    <w:sectPr w:rsidR="00013D99" w:rsidRPr="00A87A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D1F8" w14:textId="77777777" w:rsidR="00002E58" w:rsidRDefault="00002E58" w:rsidP="00A87A85">
      <w:pPr>
        <w:rPr>
          <w:rFonts w:hint="eastAsia"/>
        </w:rPr>
      </w:pPr>
      <w:r>
        <w:separator/>
      </w:r>
    </w:p>
  </w:endnote>
  <w:endnote w:type="continuationSeparator" w:id="0">
    <w:p w14:paraId="7B430444" w14:textId="77777777" w:rsidR="00002E58" w:rsidRDefault="00002E58" w:rsidP="00A87A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D107" w14:textId="77777777" w:rsidR="00002E58" w:rsidRDefault="00002E58" w:rsidP="00A87A85">
      <w:pPr>
        <w:rPr>
          <w:rFonts w:hint="eastAsia"/>
        </w:rPr>
      </w:pPr>
      <w:r>
        <w:separator/>
      </w:r>
    </w:p>
  </w:footnote>
  <w:footnote w:type="continuationSeparator" w:id="0">
    <w:p w14:paraId="56E437BC" w14:textId="77777777" w:rsidR="00002E58" w:rsidRDefault="00002E58" w:rsidP="00A87A8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4A32"/>
    <w:rsid w:val="00002E58"/>
    <w:rsid w:val="00013D99"/>
    <w:rsid w:val="00084A32"/>
    <w:rsid w:val="003755BE"/>
    <w:rsid w:val="003E7C69"/>
    <w:rsid w:val="0099715B"/>
    <w:rsid w:val="00A87A85"/>
    <w:rsid w:val="00B04E22"/>
    <w:rsid w:val="00FD0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9ED9EB1-FCB7-4E74-AAFE-777FE05E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A85"/>
    <w:pPr>
      <w:widowControl w:val="0"/>
      <w:jc w:val="both"/>
    </w:pPr>
  </w:style>
  <w:style w:type="paragraph" w:styleId="1">
    <w:name w:val="heading 1"/>
    <w:basedOn w:val="a"/>
    <w:next w:val="a"/>
    <w:link w:val="10"/>
    <w:uiPriority w:val="9"/>
    <w:qFormat/>
    <w:rsid w:val="00084A3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84A3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84A3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84A3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84A32"/>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84A3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84A3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84A3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84A3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84A3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84A3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84A3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84A32"/>
    <w:rPr>
      <w:rFonts w:cstheme="majorBidi"/>
      <w:color w:val="0F4761" w:themeColor="accent1" w:themeShade="BF"/>
      <w:sz w:val="28"/>
      <w:szCs w:val="28"/>
    </w:rPr>
  </w:style>
  <w:style w:type="character" w:customStyle="1" w:styleId="50">
    <w:name w:val="标题 5 字符"/>
    <w:basedOn w:val="a0"/>
    <w:link w:val="5"/>
    <w:uiPriority w:val="9"/>
    <w:semiHidden/>
    <w:rsid w:val="00084A32"/>
    <w:rPr>
      <w:rFonts w:cstheme="majorBidi"/>
      <w:color w:val="0F4761" w:themeColor="accent1" w:themeShade="BF"/>
      <w:sz w:val="24"/>
      <w:szCs w:val="24"/>
    </w:rPr>
  </w:style>
  <w:style w:type="character" w:customStyle="1" w:styleId="60">
    <w:name w:val="标题 6 字符"/>
    <w:basedOn w:val="a0"/>
    <w:link w:val="6"/>
    <w:uiPriority w:val="9"/>
    <w:semiHidden/>
    <w:rsid w:val="00084A32"/>
    <w:rPr>
      <w:rFonts w:cstheme="majorBidi"/>
      <w:b/>
      <w:bCs/>
      <w:color w:val="0F4761" w:themeColor="accent1" w:themeShade="BF"/>
    </w:rPr>
  </w:style>
  <w:style w:type="character" w:customStyle="1" w:styleId="70">
    <w:name w:val="标题 7 字符"/>
    <w:basedOn w:val="a0"/>
    <w:link w:val="7"/>
    <w:uiPriority w:val="9"/>
    <w:semiHidden/>
    <w:rsid w:val="00084A32"/>
    <w:rPr>
      <w:rFonts w:cstheme="majorBidi"/>
      <w:b/>
      <w:bCs/>
      <w:color w:val="595959" w:themeColor="text1" w:themeTint="A6"/>
    </w:rPr>
  </w:style>
  <w:style w:type="character" w:customStyle="1" w:styleId="80">
    <w:name w:val="标题 8 字符"/>
    <w:basedOn w:val="a0"/>
    <w:link w:val="8"/>
    <w:uiPriority w:val="9"/>
    <w:semiHidden/>
    <w:rsid w:val="00084A32"/>
    <w:rPr>
      <w:rFonts w:cstheme="majorBidi"/>
      <w:color w:val="595959" w:themeColor="text1" w:themeTint="A6"/>
    </w:rPr>
  </w:style>
  <w:style w:type="character" w:customStyle="1" w:styleId="90">
    <w:name w:val="标题 9 字符"/>
    <w:basedOn w:val="a0"/>
    <w:link w:val="9"/>
    <w:uiPriority w:val="9"/>
    <w:semiHidden/>
    <w:rsid w:val="00084A32"/>
    <w:rPr>
      <w:rFonts w:eastAsiaTheme="majorEastAsia" w:cstheme="majorBidi"/>
      <w:color w:val="595959" w:themeColor="text1" w:themeTint="A6"/>
    </w:rPr>
  </w:style>
  <w:style w:type="paragraph" w:styleId="a3">
    <w:name w:val="Title"/>
    <w:basedOn w:val="a"/>
    <w:next w:val="a"/>
    <w:link w:val="a4"/>
    <w:uiPriority w:val="10"/>
    <w:qFormat/>
    <w:rsid w:val="00084A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84A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A3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84A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4A32"/>
    <w:pPr>
      <w:spacing w:before="160" w:after="160"/>
      <w:jc w:val="center"/>
    </w:pPr>
    <w:rPr>
      <w:i/>
      <w:iCs/>
      <w:color w:val="404040" w:themeColor="text1" w:themeTint="BF"/>
    </w:rPr>
  </w:style>
  <w:style w:type="character" w:customStyle="1" w:styleId="a8">
    <w:name w:val="引用 字符"/>
    <w:basedOn w:val="a0"/>
    <w:link w:val="a7"/>
    <w:uiPriority w:val="29"/>
    <w:rsid w:val="00084A32"/>
    <w:rPr>
      <w:i/>
      <w:iCs/>
      <w:color w:val="404040" w:themeColor="text1" w:themeTint="BF"/>
    </w:rPr>
  </w:style>
  <w:style w:type="paragraph" w:styleId="a9">
    <w:name w:val="List Paragraph"/>
    <w:basedOn w:val="a"/>
    <w:uiPriority w:val="34"/>
    <w:qFormat/>
    <w:rsid w:val="00084A32"/>
    <w:pPr>
      <w:ind w:left="720"/>
      <w:contextualSpacing/>
    </w:pPr>
  </w:style>
  <w:style w:type="character" w:styleId="aa">
    <w:name w:val="Intense Emphasis"/>
    <w:basedOn w:val="a0"/>
    <w:uiPriority w:val="21"/>
    <w:qFormat/>
    <w:rsid w:val="00084A32"/>
    <w:rPr>
      <w:i/>
      <w:iCs/>
      <w:color w:val="0F4761" w:themeColor="accent1" w:themeShade="BF"/>
    </w:rPr>
  </w:style>
  <w:style w:type="paragraph" w:styleId="ab">
    <w:name w:val="Intense Quote"/>
    <w:basedOn w:val="a"/>
    <w:next w:val="a"/>
    <w:link w:val="ac"/>
    <w:uiPriority w:val="30"/>
    <w:qFormat/>
    <w:rsid w:val="00084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84A32"/>
    <w:rPr>
      <w:i/>
      <w:iCs/>
      <w:color w:val="0F4761" w:themeColor="accent1" w:themeShade="BF"/>
    </w:rPr>
  </w:style>
  <w:style w:type="character" w:styleId="ad">
    <w:name w:val="Intense Reference"/>
    <w:basedOn w:val="a0"/>
    <w:uiPriority w:val="32"/>
    <w:qFormat/>
    <w:rsid w:val="00084A32"/>
    <w:rPr>
      <w:b/>
      <w:bCs/>
      <w:smallCaps/>
      <w:color w:val="0F4761" w:themeColor="accent1" w:themeShade="BF"/>
      <w:spacing w:val="5"/>
    </w:rPr>
  </w:style>
  <w:style w:type="paragraph" w:styleId="ae">
    <w:name w:val="header"/>
    <w:basedOn w:val="a"/>
    <w:link w:val="af"/>
    <w:uiPriority w:val="99"/>
    <w:unhideWhenUsed/>
    <w:rsid w:val="00A87A85"/>
    <w:pPr>
      <w:tabs>
        <w:tab w:val="center" w:pos="4153"/>
        <w:tab w:val="right" w:pos="8306"/>
      </w:tabs>
      <w:snapToGrid w:val="0"/>
      <w:jc w:val="center"/>
    </w:pPr>
    <w:rPr>
      <w:sz w:val="18"/>
      <w:szCs w:val="18"/>
    </w:rPr>
  </w:style>
  <w:style w:type="character" w:customStyle="1" w:styleId="af">
    <w:name w:val="页眉 字符"/>
    <w:basedOn w:val="a0"/>
    <w:link w:val="ae"/>
    <w:uiPriority w:val="99"/>
    <w:rsid w:val="00A87A85"/>
    <w:rPr>
      <w:sz w:val="18"/>
      <w:szCs w:val="18"/>
    </w:rPr>
  </w:style>
  <w:style w:type="paragraph" w:styleId="af0">
    <w:name w:val="footer"/>
    <w:basedOn w:val="a"/>
    <w:link w:val="af1"/>
    <w:uiPriority w:val="99"/>
    <w:unhideWhenUsed/>
    <w:rsid w:val="00A87A85"/>
    <w:pPr>
      <w:tabs>
        <w:tab w:val="center" w:pos="4153"/>
        <w:tab w:val="right" w:pos="8306"/>
      </w:tabs>
      <w:snapToGrid w:val="0"/>
      <w:jc w:val="left"/>
    </w:pPr>
    <w:rPr>
      <w:sz w:val="18"/>
      <w:szCs w:val="18"/>
    </w:rPr>
  </w:style>
  <w:style w:type="character" w:customStyle="1" w:styleId="af1">
    <w:name w:val="页脚 字符"/>
    <w:basedOn w:val="a0"/>
    <w:link w:val="af0"/>
    <w:uiPriority w:val="99"/>
    <w:rsid w:val="00A87A85"/>
    <w:rPr>
      <w:sz w:val="18"/>
      <w:szCs w:val="18"/>
    </w:rPr>
  </w:style>
  <w:style w:type="table" w:styleId="af2">
    <w:name w:val="Table Grid"/>
    <w:basedOn w:val="a1"/>
    <w:uiPriority w:val="39"/>
    <w:rsid w:val="00A87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yingxing li</dc:creator>
  <cp:keywords/>
  <dc:description/>
  <cp:lastModifiedBy>yingxing li</cp:lastModifiedBy>
  <cp:revision>3</cp:revision>
  <dcterms:created xsi:type="dcterms:W3CDTF">2026-07-17T04:18:00Z</dcterms:created>
  <dcterms:modified xsi:type="dcterms:W3CDTF">2026-07-17T04:20:00Z</dcterms:modified>
</cp:coreProperties>
</file>