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949" w:rsidRPr="00C34876" w:rsidRDefault="007E4949" w:rsidP="007E4949">
      <w:pPr>
        <w:rPr>
          <w:b/>
          <w:bCs/>
        </w:rPr>
      </w:pPr>
      <w:r w:rsidRPr="00C34876">
        <w:rPr>
          <w:b/>
          <w:bCs/>
        </w:rPr>
        <w:t xml:space="preserve">Supplementary Material: </w:t>
      </w:r>
      <w:bookmarkStart w:id="0" w:name="_GoBack"/>
      <w:bookmarkEnd w:id="0"/>
    </w:p>
    <w:p w:rsidR="007E4949" w:rsidRPr="00C34876" w:rsidRDefault="007E4949" w:rsidP="007E4949">
      <w:pPr>
        <w:rPr>
          <w:i/>
          <w:iCs/>
        </w:rPr>
      </w:pPr>
      <w:r w:rsidRPr="00C34876">
        <w:rPr>
          <w:i/>
          <w:iCs/>
        </w:rPr>
        <w:t>Sanger Sequencing of Helicobacter haplotypes</w:t>
      </w:r>
    </w:p>
    <w:p w:rsidR="007E4949" w:rsidRDefault="007E4949" w:rsidP="007E4949">
      <w:pPr>
        <w:spacing w:line="360" w:lineRule="auto"/>
      </w:pPr>
      <w:r w:rsidRPr="00C34876">
        <w:t xml:space="preserve">To test the faecal samples for </w:t>
      </w:r>
      <w:r w:rsidRPr="00C34876">
        <w:rPr>
          <w:i/>
          <w:iCs/>
        </w:rPr>
        <w:t>Helicobacter</w:t>
      </w:r>
      <w:r w:rsidRPr="00C34876">
        <w:t xml:space="preserve"> prevalence the 16S ribosomal RNA of Helicobacter was amplified </w:t>
      </w:r>
      <w:r>
        <w:t>using the</w:t>
      </w:r>
      <w:r w:rsidRPr="00C34876">
        <w:t xml:space="preserve"> </w:t>
      </w:r>
      <w:r w:rsidRPr="00C34876">
        <w:rPr>
          <w:i/>
          <w:iCs/>
        </w:rPr>
        <w:t>Helicobacter</w:t>
      </w:r>
      <w:r w:rsidRPr="00C34876">
        <w:t xml:space="preserve">-specific primer pair: C97 [5’-GCTATGACGGGTATCC-3’(276–291 forward)] and C05 [5’-ACTTCACCCCAGTCGCTG-3’(1478–1495 reverse)] </w:t>
      </w:r>
      <w:r>
        <w:fldChar w:fldCharType="begin"/>
      </w:r>
      <w:r>
        <w:instrText xml:space="preserve"> ADDIN ZOTERO_ITEM CSL_CITATION {"citationID":"8laINOgZ","properties":{"formattedCitation":"[84]","plainCitation":"[84]","noteIndex":0},"citationItems":[{"id":2491,"uris":["http://zotero.org/users/13284053/items/TID8PPAX"],"itemData":{"id":2491,"type":"article-journal","abstract":"Oncology Letters is an international journal devoted to Experimental and Clinical Oncology.","container-title":"Oncology Letters","DOI":"10.3892/ol_00000098","ISSN":"1792-1074","issue":"3","language":"en","note":"publisher: Spandidos Publications","page":"555-558","source":"www.spandidos-publications.com","title":"Molecular identification of Helicobacter DNA in human gastric adenocarcinoma tissues using Helicobacter species-specific 16S rRNA PCR amplification and pyrosequencing analysis","volume":"1","author":[{"family":"Han","given":"Hye S."},{"family":"Lee","given":"Kyung-Yung"},{"family":"Lim","given":"So D."},{"family":"Kim","given":"Wan S."},{"family":"Hwang","given":"Tae S."}],"issued":{"date-parts":[["2010",5,1]]}}}],"schema":"https://github.com/citation-style-language/schema/raw/master/csl-citation.json"} </w:instrText>
      </w:r>
      <w:r>
        <w:fldChar w:fldCharType="separate"/>
      </w:r>
      <w:r w:rsidRPr="00F6738E">
        <w:t>[84]</w:t>
      </w:r>
      <w:r>
        <w:fldChar w:fldCharType="end"/>
      </w:r>
      <w:r w:rsidRPr="00C34876">
        <w:t xml:space="preserve">, amplifying </w:t>
      </w:r>
      <w:r>
        <w:t>a sequence</w:t>
      </w:r>
      <w:r w:rsidRPr="00C34876">
        <w:t xml:space="preserve"> of approximately 1200 </w:t>
      </w:r>
      <w:proofErr w:type="spellStart"/>
      <w:r>
        <w:t>bp</w:t>
      </w:r>
      <w:r w:rsidRPr="00C34876">
        <w:t>.</w:t>
      </w:r>
      <w:proofErr w:type="spellEnd"/>
      <w:r w:rsidRPr="00C34876">
        <w:t xml:space="preserve"> Total PCR volume amounted to 15.0 </w:t>
      </w:r>
      <w:r>
        <w:sym w:font="Symbol" w:char="F06D"/>
      </w:r>
      <w:r w:rsidRPr="00C34876">
        <w:t xml:space="preserve">l, consisting of 4.5 </w:t>
      </w:r>
      <w:r>
        <w:sym w:font="Symbol" w:char="F06D"/>
      </w:r>
      <w:r w:rsidRPr="00C34876">
        <w:t xml:space="preserve">l water, 7.5 </w:t>
      </w:r>
      <w:r>
        <w:sym w:font="Symbol" w:char="F06D"/>
      </w:r>
      <w:r w:rsidRPr="00C34876">
        <w:t xml:space="preserve">l </w:t>
      </w:r>
      <w:proofErr w:type="spellStart"/>
      <w:r w:rsidRPr="00C34876">
        <w:t>AmpliTaq</w:t>
      </w:r>
      <w:proofErr w:type="spellEnd"/>
      <w:r w:rsidRPr="00C34876">
        <w:t xml:space="preserve"> Gold 360 Master Mix (Applied Biosystems, CA; USA), 0.33 </w:t>
      </w:r>
      <w:proofErr w:type="spellStart"/>
      <w:r w:rsidRPr="00C34876">
        <w:t>mM</w:t>
      </w:r>
      <w:proofErr w:type="spellEnd"/>
      <w:r w:rsidRPr="00C34876">
        <w:t xml:space="preserve"> of each primer, and 10-30 ng sample. </w:t>
      </w:r>
      <w:r w:rsidRPr="00C34876">
        <w:rPr>
          <w:i/>
          <w:iCs/>
        </w:rPr>
        <w:t xml:space="preserve">C. </w:t>
      </w:r>
      <w:proofErr w:type="spellStart"/>
      <w:r w:rsidRPr="00C34876">
        <w:rPr>
          <w:i/>
          <w:iCs/>
        </w:rPr>
        <w:t>perspicillata</w:t>
      </w:r>
      <w:proofErr w:type="spellEnd"/>
      <w:r w:rsidRPr="00C34876">
        <w:t xml:space="preserve"> samples were put </w:t>
      </w:r>
      <w:r>
        <w:t>to</w:t>
      </w:r>
      <w:r w:rsidRPr="00C34876">
        <w:t xml:space="preserve"> 40 cycles</w:t>
      </w:r>
      <w:r>
        <w:t xml:space="preserve">. </w:t>
      </w:r>
      <w:r w:rsidRPr="00C34876">
        <w:t>All PCRs were run in duplicate.</w:t>
      </w:r>
      <w:r>
        <w:t xml:space="preserve"> Following the PCR, 5.0 </w:t>
      </w:r>
      <w:r>
        <w:sym w:font="Symbol" w:char="F06D"/>
      </w:r>
      <w:r>
        <w:t xml:space="preserve">l of each product was mixed with 2.0 </w:t>
      </w:r>
      <w:r>
        <w:sym w:font="Symbol" w:char="F06D"/>
      </w:r>
      <w:r>
        <w:t xml:space="preserve">l loading buffer including the DNA staining dye </w:t>
      </w:r>
      <w:proofErr w:type="spellStart"/>
      <w:r>
        <w:t>GelRed</w:t>
      </w:r>
      <w:proofErr w:type="spellEnd"/>
      <w:r>
        <w:t xml:space="preserve"> (</w:t>
      </w:r>
      <w:proofErr w:type="spellStart"/>
      <w:r>
        <w:t>Biotinum</w:t>
      </w:r>
      <w:proofErr w:type="spellEnd"/>
      <w:r>
        <w:t xml:space="preserve">, CA; USA), and were separated by gel electrophoresis. For size reference, </w:t>
      </w:r>
      <w:proofErr w:type="spellStart"/>
      <w:r>
        <w:t>FastRuler</w:t>
      </w:r>
      <w:proofErr w:type="spellEnd"/>
      <w:r>
        <w:t xml:space="preserve"> Low Range DNA Ladder (</w:t>
      </w:r>
      <w:proofErr w:type="spellStart"/>
      <w:r>
        <w:t>Thermo</w:t>
      </w:r>
      <w:proofErr w:type="spellEnd"/>
      <w:r>
        <w:t xml:space="preserve"> Fisher Scientific, MA; USA), with DNA fragments of 1500, 850, 400, 200, and 50 base pairs, was applied with the same mixing proportion as the products. </w:t>
      </w:r>
    </w:p>
    <w:p w:rsidR="007E4949" w:rsidRPr="00E542D8" w:rsidRDefault="007E4949" w:rsidP="007E4949">
      <w:pPr>
        <w:spacing w:line="360" w:lineRule="auto"/>
      </w:pPr>
      <w:r>
        <w:t xml:space="preserve">After evaluation under UV-light, </w:t>
      </w:r>
      <w:r w:rsidRPr="00C34876">
        <w:t xml:space="preserve">Helicobacter-positive </w:t>
      </w:r>
      <w:proofErr w:type="gramStart"/>
      <w:r w:rsidRPr="00C34876">
        <w:t>samples,</w:t>
      </w:r>
      <w:proofErr w:type="gramEnd"/>
      <w:r w:rsidRPr="00C34876">
        <w:t xml:space="preserve"> were first purified with exonuclease and </w:t>
      </w:r>
      <w:proofErr w:type="spellStart"/>
      <w:r w:rsidRPr="00C34876">
        <w:t>FastAP</w:t>
      </w:r>
      <w:proofErr w:type="spellEnd"/>
      <w:r w:rsidRPr="00C34876">
        <w:t xml:space="preserve"> Thermosensitive Alkaline Phosphatase (</w:t>
      </w:r>
      <w:proofErr w:type="spellStart"/>
      <w:r w:rsidRPr="00C34876">
        <w:t>ThermoFisher</w:t>
      </w:r>
      <w:proofErr w:type="spellEnd"/>
      <w:r w:rsidRPr="00C34876">
        <w:t xml:space="preserve"> Scientific, MA; USA) to remove all single-stranded nucleotides </w:t>
      </w:r>
      <w:r>
        <w:t>in order</w:t>
      </w:r>
      <w:r w:rsidRPr="00C34876">
        <w:t xml:space="preserve"> to achieve </w:t>
      </w:r>
      <w:r>
        <w:t xml:space="preserve">a </w:t>
      </w:r>
      <w:r w:rsidRPr="00C34876">
        <w:t xml:space="preserve">clean sequencing reaction. The purification process consisted of incubation at 37°C for 15 minutes and then at 85°C for 15 minutes. After the purifying process, the sequencing PCR for each primer was carried out using </w:t>
      </w:r>
      <w:proofErr w:type="spellStart"/>
      <w:r w:rsidRPr="00C34876">
        <w:t>BigDye</w:t>
      </w:r>
      <w:proofErr w:type="spellEnd"/>
      <w:r w:rsidRPr="00C34876">
        <w:t xml:space="preserve"> </w:t>
      </w:r>
      <w:proofErr w:type="spellStart"/>
      <w:r w:rsidRPr="00C34876">
        <w:t>XTerminator</w:t>
      </w:r>
      <w:proofErr w:type="spellEnd"/>
      <w:r w:rsidRPr="00C34876">
        <w:t xml:space="preserve"> v3.1 Cycle Sequencing Kit (Applied Biosystems, CA; USA). The total volume was 10 </w:t>
      </w:r>
      <w:r>
        <w:sym w:font="Symbol" w:char="F06D"/>
      </w:r>
      <w:r w:rsidRPr="00C34876">
        <w:t xml:space="preserve">l comprised of 1.0 </w:t>
      </w:r>
      <w:r>
        <w:sym w:font="Symbol" w:char="F06D"/>
      </w:r>
      <w:r w:rsidRPr="00C34876">
        <w:t xml:space="preserve">l </w:t>
      </w:r>
      <w:proofErr w:type="spellStart"/>
      <w:r w:rsidRPr="00C34876">
        <w:t>BigDye</w:t>
      </w:r>
      <w:proofErr w:type="spellEnd"/>
      <w:r w:rsidRPr="00C34876">
        <w:t xml:space="preserve">, 2.0 µl </w:t>
      </w:r>
      <w:proofErr w:type="spellStart"/>
      <w:r w:rsidRPr="00C34876">
        <w:t>BigDye</w:t>
      </w:r>
      <w:proofErr w:type="spellEnd"/>
      <w:r w:rsidRPr="00C34876">
        <w:t xml:space="preserve"> sequencing buffer, 1.0 µl primer (forward: C98; reverse: C05; 10 </w:t>
      </w:r>
      <w:proofErr w:type="spellStart"/>
      <w:r w:rsidRPr="00C34876">
        <w:t>mM</w:t>
      </w:r>
      <w:proofErr w:type="spellEnd"/>
      <w:r w:rsidRPr="00C34876">
        <w:t xml:space="preserve">) and 6.0 </w:t>
      </w:r>
      <w:r>
        <w:sym w:font="Symbol" w:char="F06D"/>
      </w:r>
      <w:r w:rsidRPr="00C34876">
        <w:t xml:space="preserve">l consisting out of sample and water. </w:t>
      </w:r>
      <w:r>
        <w:t>T</w:t>
      </w:r>
      <w:r w:rsidRPr="00C34876">
        <w:t xml:space="preserve">he sequencing PCR products were purified using </w:t>
      </w:r>
      <w:proofErr w:type="spellStart"/>
      <w:r w:rsidRPr="00C34876">
        <w:t>BigDye</w:t>
      </w:r>
      <w:proofErr w:type="spellEnd"/>
      <w:r w:rsidRPr="00C34876">
        <w:t xml:space="preserve"> </w:t>
      </w:r>
      <w:proofErr w:type="spellStart"/>
      <w:r w:rsidRPr="00C34876">
        <w:t>XTerminator</w:t>
      </w:r>
      <w:proofErr w:type="spellEnd"/>
      <w:r w:rsidRPr="00C34876">
        <w:t xml:space="preserve"> purification kit (Applied Biosystems, CA; USA) by adding 10 </w:t>
      </w:r>
      <w:r>
        <w:sym w:font="Symbol" w:char="F06D"/>
      </w:r>
      <w:r w:rsidRPr="00C34876">
        <w:t xml:space="preserve">l </w:t>
      </w:r>
      <w:proofErr w:type="spellStart"/>
      <w:r w:rsidRPr="00C34876">
        <w:t>BigDye</w:t>
      </w:r>
      <w:proofErr w:type="spellEnd"/>
      <w:r w:rsidRPr="00C34876">
        <w:t xml:space="preserve"> </w:t>
      </w:r>
      <w:proofErr w:type="spellStart"/>
      <w:r w:rsidRPr="00C34876">
        <w:t>XTerminator</w:t>
      </w:r>
      <w:proofErr w:type="spellEnd"/>
      <w:r w:rsidRPr="00C34876">
        <w:t xml:space="preserve"> Solution and 45 </w:t>
      </w:r>
      <w:r>
        <w:sym w:font="Symbol" w:char="F06D"/>
      </w:r>
      <w:r w:rsidRPr="00C34876">
        <w:t xml:space="preserve">l SAM Solution to the PCR product and shaking it for 30 minutes at 1140 rpm. Lastly, after centrifugation, 20 </w:t>
      </w:r>
      <w:r>
        <w:sym w:font="Symbol" w:char="F06D"/>
      </w:r>
      <w:r w:rsidRPr="00C34876">
        <w:t xml:space="preserve">l of each supernatant was loaded onto the ABI 3130 Genetic </w:t>
      </w:r>
      <w:proofErr w:type="spellStart"/>
      <w:r w:rsidRPr="00C34876">
        <w:t>Analyzer</w:t>
      </w:r>
      <w:proofErr w:type="spellEnd"/>
      <w:r w:rsidRPr="00C34876">
        <w:t xml:space="preserve"> (Applied Biosystems, CA; USA).</w:t>
      </w:r>
      <w:r>
        <w:rPr>
          <w:b/>
          <w:bCs/>
        </w:rPr>
        <w:br w:type="page"/>
      </w:r>
    </w:p>
    <w:p w:rsidR="007E4949" w:rsidRPr="00C34876" w:rsidRDefault="007E4949" w:rsidP="007E4949">
      <w:pPr>
        <w:rPr>
          <w:b/>
          <w:bCs/>
        </w:rPr>
      </w:pPr>
      <w:r w:rsidRPr="00C34876">
        <w:rPr>
          <w:b/>
          <w:bCs/>
        </w:rPr>
        <w:lastRenderedPageBreak/>
        <w:t xml:space="preserve">Supplementary Figure: </w:t>
      </w:r>
    </w:p>
    <w:p w:rsidR="007E4949" w:rsidRDefault="007E4949" w:rsidP="007E4949">
      <w:r>
        <w:rPr>
          <w:noProof/>
          <w:lang w:val="en-US"/>
        </w:rPr>
        <w:drawing>
          <wp:inline distT="0" distB="0" distL="0" distR="0" wp14:anchorId="345FFE74" wp14:editId="61B18919">
            <wp:extent cx="5760720" cy="3997960"/>
            <wp:effectExtent l="0" t="0" r="5080" b="2540"/>
            <wp:docPr id="18822672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267247" name="Picture 188226724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9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949" w:rsidRPr="00EE0629" w:rsidRDefault="007E4949" w:rsidP="007E4949">
      <w:proofErr w:type="gramStart"/>
      <w:r w:rsidRPr="006611D6">
        <w:rPr>
          <w:b/>
          <w:bCs/>
        </w:rPr>
        <w:t>Supplementary Figure 1.</w:t>
      </w:r>
      <w:proofErr w:type="gramEnd"/>
      <w:r>
        <w:t xml:space="preserve"> A-C) Comparison of rarefied versus unrarefied alpha diversity </w:t>
      </w:r>
      <w:proofErr w:type="spellStart"/>
      <w:r>
        <w:t>metrices</w:t>
      </w:r>
      <w:proofErr w:type="spellEnd"/>
      <w:r>
        <w:t xml:space="preserve"> from samples with more than 5000 reads and D-F) in relation to sample sequencing depth. </w:t>
      </w:r>
    </w:p>
    <w:p w:rsidR="00881905" w:rsidRDefault="00881905"/>
    <w:sectPr w:rsidR="008819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949"/>
    <w:rsid w:val="007E4949"/>
    <w:rsid w:val="0088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949"/>
    <w:pPr>
      <w:spacing w:after="160" w:line="259" w:lineRule="auto"/>
    </w:pPr>
    <w:rPr>
      <w:rFonts w:ascii="Calibri" w:eastAsiaTheme="minorEastAsia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4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949"/>
    <w:rPr>
      <w:rFonts w:ascii="Tahoma" w:eastAsiaTheme="minorEastAsi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949"/>
    <w:pPr>
      <w:spacing w:after="160" w:line="259" w:lineRule="auto"/>
    </w:pPr>
    <w:rPr>
      <w:rFonts w:ascii="Calibri" w:eastAsiaTheme="minorEastAsia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4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949"/>
    <w:rPr>
      <w:rFonts w:ascii="Tahoma" w:eastAsiaTheme="minorEastAsi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Rodielyn Boncales</dc:creator>
  <cp:lastModifiedBy>Rodielyn Boncales</cp:lastModifiedBy>
  <cp:revision>1</cp:revision>
  <dcterms:created xsi:type="dcterms:W3CDTF">2026-07-25T11:01:00Z</dcterms:created>
  <dcterms:modified xsi:type="dcterms:W3CDTF">2026-07-25T11:03:00Z</dcterms:modified>
</cp:coreProperties>
</file>