
<file path=[Content_Types].xml><?xml version="1.0" encoding="utf-8"?>
<Types xmlns="http://schemas.openxmlformats.org/package/2006/content-types">
  <Default Extension="xml" ContentType="application/xml"/>
  <Default Extension="wmf" ContentType="image/x-wmf"/>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06EAED">
      <w:pPr>
        <w:keepNext/>
        <w:spacing w:before="0" w:after="80"/>
        <w:jc w:val="left"/>
      </w:pPr>
      <w:r>
        <w:rPr>
          <w:rFonts w:ascii="Arial" w:hAnsi="Arial"/>
          <w:b w:val="0"/>
          <w:sz w:val="21"/>
        </w:rPr>
        <w:t>Supplementary Table 1. Logistic regression analysis of the association between greasy tongue coating and pulmonary nodule progression</w:t>
      </w:r>
    </w:p>
    <w:tbl>
      <w:tblPr>
        <w:tblStyle w:val="32"/>
        <w:tblW w:w="0" w:type="auto"/>
        <w:jc w:val="center"/>
        <w:tblLayout w:type="fixed"/>
        <w:tblCellMar>
          <w:top w:w="0" w:type="dxa"/>
          <w:left w:w="108" w:type="dxa"/>
          <w:bottom w:w="0" w:type="dxa"/>
          <w:right w:w="108" w:type="dxa"/>
        </w:tblCellMar>
      </w:tblPr>
      <w:tblGrid>
        <w:gridCol w:w="2091"/>
        <w:gridCol w:w="2091"/>
        <w:gridCol w:w="2091"/>
        <w:gridCol w:w="2091"/>
        <w:gridCol w:w="2091"/>
      </w:tblGrid>
      <w:tr w14:paraId="37C20099">
        <w:tblPrEx>
          <w:tblCellMar>
            <w:top w:w="0" w:type="dxa"/>
            <w:left w:w="108" w:type="dxa"/>
            <w:bottom w:w="0" w:type="dxa"/>
            <w:right w:w="108" w:type="dxa"/>
          </w:tblCellMar>
        </w:tblPrEx>
        <w:trPr>
          <w:tblHeader/>
          <w:jc w:val="center"/>
        </w:trPr>
        <w:tc>
          <w:tcPr>
            <w:tcW w:w="1036" w:type="dxa"/>
            <w:tcBorders>
              <w:top w:val="single" w:color="000000" w:sz="8" w:space="0"/>
              <w:bottom w:val="single" w:color="000000" w:sz="8" w:space="0"/>
            </w:tcBorders>
            <w:vAlign w:val="center"/>
          </w:tcPr>
          <w:p w14:paraId="4CCA3D50">
            <w:pPr>
              <w:spacing w:before="0" w:after="0" w:line="240" w:lineRule="auto"/>
              <w:jc w:val="left"/>
            </w:pPr>
            <w:r>
              <w:rPr>
                <w:rFonts w:ascii="Arial" w:hAnsi="Arial"/>
                <w:b/>
                <w:sz w:val="18"/>
              </w:rPr>
              <w:t>Model</w:t>
            </w:r>
          </w:p>
        </w:tc>
        <w:tc>
          <w:tcPr>
            <w:tcW w:w="5414" w:type="dxa"/>
            <w:tcBorders>
              <w:top w:val="single" w:color="000000" w:sz="8" w:space="0"/>
              <w:bottom w:val="single" w:color="000000" w:sz="8" w:space="0"/>
            </w:tcBorders>
            <w:vAlign w:val="center"/>
          </w:tcPr>
          <w:p w14:paraId="5F6D47E2">
            <w:pPr>
              <w:spacing w:before="0" w:after="0" w:line="240" w:lineRule="auto"/>
              <w:jc w:val="left"/>
            </w:pPr>
            <w:r>
              <w:rPr>
                <w:rFonts w:ascii="Arial" w:hAnsi="Arial"/>
                <w:b/>
                <w:sz w:val="18"/>
              </w:rPr>
              <w:t>Adjusted variables</w:t>
            </w:r>
          </w:p>
        </w:tc>
        <w:tc>
          <w:tcPr>
            <w:tcW w:w="792" w:type="dxa"/>
            <w:tcBorders>
              <w:top w:val="single" w:color="000000" w:sz="8" w:space="0"/>
              <w:bottom w:val="single" w:color="000000" w:sz="8" w:space="0"/>
            </w:tcBorders>
            <w:vAlign w:val="center"/>
          </w:tcPr>
          <w:p w14:paraId="3C7E9046">
            <w:pPr>
              <w:spacing w:before="0" w:after="0" w:line="240" w:lineRule="auto"/>
              <w:jc w:val="center"/>
            </w:pPr>
            <w:r>
              <w:rPr>
                <w:rFonts w:ascii="Arial" w:hAnsi="Arial"/>
                <w:b/>
                <w:sz w:val="18"/>
              </w:rPr>
              <w:t>OR</w:t>
            </w:r>
          </w:p>
        </w:tc>
        <w:tc>
          <w:tcPr>
            <w:tcW w:w="1411" w:type="dxa"/>
            <w:tcBorders>
              <w:top w:val="single" w:color="000000" w:sz="8" w:space="0"/>
              <w:bottom w:val="single" w:color="000000" w:sz="8" w:space="0"/>
            </w:tcBorders>
            <w:vAlign w:val="center"/>
          </w:tcPr>
          <w:p w14:paraId="402296D4">
            <w:pPr>
              <w:spacing w:before="0" w:after="0" w:line="240" w:lineRule="auto"/>
              <w:jc w:val="center"/>
            </w:pPr>
            <w:r>
              <w:rPr>
                <w:rFonts w:ascii="Arial" w:hAnsi="Arial"/>
                <w:b/>
                <w:sz w:val="18"/>
              </w:rPr>
              <w:t>95% CI</w:t>
            </w:r>
          </w:p>
        </w:tc>
        <w:tc>
          <w:tcPr>
            <w:tcW w:w="864" w:type="dxa"/>
            <w:tcBorders>
              <w:top w:val="single" w:color="000000" w:sz="8" w:space="0"/>
              <w:bottom w:val="single" w:color="000000" w:sz="8" w:space="0"/>
            </w:tcBorders>
            <w:vAlign w:val="center"/>
          </w:tcPr>
          <w:p w14:paraId="5D90E328">
            <w:pPr>
              <w:spacing w:before="0" w:after="0" w:line="240" w:lineRule="auto"/>
              <w:jc w:val="center"/>
            </w:pPr>
            <w:r>
              <w:rPr>
                <w:rFonts w:ascii="Arial" w:hAnsi="Arial"/>
                <w:b/>
                <w:sz w:val="18"/>
              </w:rPr>
              <w:t>P value</w:t>
            </w:r>
          </w:p>
        </w:tc>
      </w:tr>
      <w:tr w14:paraId="6AC52765">
        <w:tblPrEx>
          <w:tblCellMar>
            <w:top w:w="0" w:type="dxa"/>
            <w:left w:w="108" w:type="dxa"/>
            <w:bottom w:w="0" w:type="dxa"/>
            <w:right w:w="108" w:type="dxa"/>
          </w:tblCellMar>
        </w:tblPrEx>
        <w:trPr>
          <w:jc w:val="center"/>
        </w:trPr>
        <w:tc>
          <w:tcPr>
            <w:tcW w:w="1036" w:type="dxa"/>
            <w:tcBorders>
              <w:bottom w:val="nil"/>
            </w:tcBorders>
            <w:vAlign w:val="center"/>
          </w:tcPr>
          <w:p w14:paraId="300C6222">
            <w:pPr>
              <w:spacing w:before="0" w:after="0" w:line="240" w:lineRule="auto"/>
              <w:jc w:val="left"/>
            </w:pPr>
            <w:r>
              <w:rPr>
                <w:rFonts w:ascii="Arial" w:hAnsi="Arial"/>
                <w:b w:val="0"/>
                <w:sz w:val="18"/>
              </w:rPr>
              <w:t>Model 1</w:t>
            </w:r>
          </w:p>
        </w:tc>
        <w:tc>
          <w:tcPr>
            <w:tcW w:w="5414" w:type="dxa"/>
            <w:tcBorders>
              <w:bottom w:val="nil"/>
            </w:tcBorders>
            <w:vAlign w:val="center"/>
          </w:tcPr>
          <w:p w14:paraId="34363FD7">
            <w:pPr>
              <w:spacing w:before="0" w:after="0" w:line="240" w:lineRule="auto"/>
              <w:jc w:val="left"/>
            </w:pPr>
            <w:r>
              <w:rPr>
                <w:rFonts w:ascii="Arial" w:hAnsi="Arial"/>
                <w:b w:val="0"/>
                <w:sz w:val="18"/>
              </w:rPr>
              <w:t>Unadjusted</w:t>
            </w:r>
          </w:p>
        </w:tc>
        <w:tc>
          <w:tcPr>
            <w:tcW w:w="792" w:type="dxa"/>
            <w:tcBorders>
              <w:bottom w:val="nil"/>
            </w:tcBorders>
            <w:vAlign w:val="center"/>
          </w:tcPr>
          <w:p w14:paraId="7A0AFA4D">
            <w:pPr>
              <w:spacing w:before="0" w:after="0" w:line="240" w:lineRule="auto"/>
              <w:jc w:val="center"/>
            </w:pPr>
            <w:r>
              <w:rPr>
                <w:rFonts w:ascii="Arial" w:hAnsi="Arial"/>
                <w:b w:val="0"/>
                <w:sz w:val="18"/>
              </w:rPr>
              <w:t>1.883</w:t>
            </w:r>
          </w:p>
        </w:tc>
        <w:tc>
          <w:tcPr>
            <w:tcW w:w="1411" w:type="dxa"/>
            <w:tcBorders>
              <w:bottom w:val="nil"/>
            </w:tcBorders>
            <w:vAlign w:val="center"/>
          </w:tcPr>
          <w:p w14:paraId="202CE3F4">
            <w:pPr>
              <w:spacing w:before="0" w:after="0" w:line="240" w:lineRule="auto"/>
              <w:jc w:val="center"/>
            </w:pPr>
            <w:r>
              <w:rPr>
                <w:rFonts w:ascii="Arial" w:hAnsi="Arial"/>
                <w:b w:val="0"/>
                <w:sz w:val="18"/>
              </w:rPr>
              <w:t>1.147–3.090</w:t>
            </w:r>
          </w:p>
        </w:tc>
        <w:tc>
          <w:tcPr>
            <w:tcW w:w="864" w:type="dxa"/>
            <w:tcBorders>
              <w:bottom w:val="nil"/>
            </w:tcBorders>
            <w:vAlign w:val="center"/>
          </w:tcPr>
          <w:p w14:paraId="5B64EE95">
            <w:pPr>
              <w:spacing w:before="0" w:after="0" w:line="240" w:lineRule="auto"/>
              <w:jc w:val="center"/>
            </w:pPr>
            <w:r>
              <w:rPr>
                <w:rFonts w:ascii="Arial" w:hAnsi="Arial"/>
                <w:b w:val="0"/>
                <w:sz w:val="18"/>
              </w:rPr>
              <w:t>0.012</w:t>
            </w:r>
          </w:p>
        </w:tc>
      </w:tr>
      <w:tr w14:paraId="0A7C0191">
        <w:tblPrEx>
          <w:tblCellMar>
            <w:top w:w="0" w:type="dxa"/>
            <w:left w:w="108" w:type="dxa"/>
            <w:bottom w:w="0" w:type="dxa"/>
            <w:right w:w="108" w:type="dxa"/>
          </w:tblCellMar>
        </w:tblPrEx>
        <w:trPr>
          <w:jc w:val="center"/>
        </w:trPr>
        <w:tc>
          <w:tcPr>
            <w:tcW w:w="1036" w:type="dxa"/>
            <w:tcBorders>
              <w:bottom w:val="nil"/>
            </w:tcBorders>
            <w:vAlign w:val="center"/>
          </w:tcPr>
          <w:p w14:paraId="54943D05">
            <w:pPr>
              <w:spacing w:before="0" w:after="0" w:line="240" w:lineRule="auto"/>
              <w:jc w:val="left"/>
            </w:pPr>
            <w:r>
              <w:rPr>
                <w:rFonts w:ascii="Arial" w:hAnsi="Arial"/>
                <w:b w:val="0"/>
                <w:sz w:val="18"/>
              </w:rPr>
              <w:t>Model 2</w:t>
            </w:r>
          </w:p>
        </w:tc>
        <w:tc>
          <w:tcPr>
            <w:tcW w:w="5414" w:type="dxa"/>
            <w:tcBorders>
              <w:bottom w:val="nil"/>
            </w:tcBorders>
            <w:vAlign w:val="center"/>
          </w:tcPr>
          <w:p w14:paraId="0B7D3A34">
            <w:pPr>
              <w:spacing w:before="0" w:after="0" w:line="240" w:lineRule="auto"/>
              <w:jc w:val="left"/>
            </w:pPr>
            <w:r>
              <w:rPr>
                <w:rFonts w:ascii="Arial" w:hAnsi="Arial"/>
                <w:b w:val="0"/>
                <w:sz w:val="18"/>
              </w:rPr>
              <w:t>Age, sex</w:t>
            </w:r>
          </w:p>
        </w:tc>
        <w:tc>
          <w:tcPr>
            <w:tcW w:w="792" w:type="dxa"/>
            <w:tcBorders>
              <w:bottom w:val="nil"/>
            </w:tcBorders>
            <w:vAlign w:val="center"/>
          </w:tcPr>
          <w:p w14:paraId="419A14D3">
            <w:pPr>
              <w:spacing w:before="0" w:after="0" w:line="240" w:lineRule="auto"/>
              <w:jc w:val="center"/>
            </w:pPr>
            <w:r>
              <w:rPr>
                <w:rFonts w:ascii="Arial" w:hAnsi="Arial"/>
                <w:b w:val="0"/>
                <w:sz w:val="18"/>
              </w:rPr>
              <w:t>1.837</w:t>
            </w:r>
          </w:p>
        </w:tc>
        <w:tc>
          <w:tcPr>
            <w:tcW w:w="1411" w:type="dxa"/>
            <w:tcBorders>
              <w:bottom w:val="nil"/>
            </w:tcBorders>
            <w:vAlign w:val="center"/>
          </w:tcPr>
          <w:p w14:paraId="206B5442">
            <w:pPr>
              <w:spacing w:before="0" w:after="0" w:line="240" w:lineRule="auto"/>
              <w:jc w:val="center"/>
            </w:pPr>
            <w:r>
              <w:rPr>
                <w:rFonts w:ascii="Arial" w:hAnsi="Arial"/>
                <w:b w:val="0"/>
                <w:sz w:val="18"/>
              </w:rPr>
              <w:t>1.115–3.027</w:t>
            </w:r>
          </w:p>
        </w:tc>
        <w:tc>
          <w:tcPr>
            <w:tcW w:w="864" w:type="dxa"/>
            <w:tcBorders>
              <w:bottom w:val="nil"/>
            </w:tcBorders>
            <w:vAlign w:val="center"/>
          </w:tcPr>
          <w:p w14:paraId="01C80761">
            <w:pPr>
              <w:spacing w:before="0" w:after="0" w:line="240" w:lineRule="auto"/>
              <w:jc w:val="center"/>
            </w:pPr>
            <w:r>
              <w:rPr>
                <w:rFonts w:ascii="Arial" w:hAnsi="Arial"/>
                <w:b w:val="0"/>
                <w:sz w:val="18"/>
              </w:rPr>
              <w:t>0.017</w:t>
            </w:r>
          </w:p>
        </w:tc>
      </w:tr>
      <w:tr w14:paraId="5ECD59D4">
        <w:tblPrEx>
          <w:tblCellMar>
            <w:top w:w="0" w:type="dxa"/>
            <w:left w:w="108" w:type="dxa"/>
            <w:bottom w:w="0" w:type="dxa"/>
            <w:right w:w="108" w:type="dxa"/>
          </w:tblCellMar>
        </w:tblPrEx>
        <w:trPr>
          <w:jc w:val="center"/>
        </w:trPr>
        <w:tc>
          <w:tcPr>
            <w:tcW w:w="1036" w:type="dxa"/>
            <w:tcBorders>
              <w:bottom w:val="single" w:color="000000" w:sz="8" w:space="0"/>
            </w:tcBorders>
            <w:vAlign w:val="center"/>
          </w:tcPr>
          <w:p w14:paraId="7641BD30">
            <w:pPr>
              <w:spacing w:before="0" w:after="0" w:line="240" w:lineRule="auto"/>
              <w:jc w:val="left"/>
            </w:pPr>
            <w:r>
              <w:rPr>
                <w:rFonts w:ascii="Arial" w:hAnsi="Arial"/>
                <w:b w:val="0"/>
                <w:sz w:val="18"/>
              </w:rPr>
              <w:t>Model 3</w:t>
            </w:r>
          </w:p>
        </w:tc>
        <w:tc>
          <w:tcPr>
            <w:tcW w:w="5414" w:type="dxa"/>
            <w:tcBorders>
              <w:bottom w:val="single" w:color="000000" w:sz="8" w:space="0"/>
            </w:tcBorders>
            <w:vAlign w:val="center"/>
          </w:tcPr>
          <w:p w14:paraId="4155CFEA">
            <w:pPr>
              <w:spacing w:before="0" w:after="0" w:line="240" w:lineRule="auto"/>
              <w:jc w:val="left"/>
            </w:pPr>
            <w:r>
              <w:rPr>
                <w:rFonts w:ascii="Arial" w:hAnsi="Arial"/>
                <w:b w:val="0"/>
                <w:sz w:val="18"/>
              </w:rPr>
              <w:t xml:space="preserve">Age, sex, </w:t>
            </w:r>
            <w:r>
              <w:rPr>
                <w:rFonts w:hint="eastAsia" w:ascii="Arial" w:hAnsi="Arial"/>
                <w:b w:val="0"/>
                <w:sz w:val="18"/>
              </w:rPr>
              <w:t>average</w:t>
            </w:r>
            <w:r>
              <w:rPr>
                <w:rFonts w:ascii="Arial" w:hAnsi="Arial"/>
                <w:b w:val="0"/>
                <w:sz w:val="18"/>
              </w:rPr>
              <w:t xml:space="preserve"> nodule diameter, nodule type, </w:t>
            </w:r>
            <w:r>
              <w:rPr>
                <w:rFonts w:hint="eastAsia" w:ascii="Arial" w:hAnsi="Arial"/>
                <w:b w:val="0"/>
                <w:sz w:val="18"/>
              </w:rPr>
              <w:t>high-risk CT features</w:t>
            </w:r>
          </w:p>
        </w:tc>
        <w:tc>
          <w:tcPr>
            <w:tcW w:w="792" w:type="dxa"/>
            <w:tcBorders>
              <w:bottom w:val="single" w:color="000000" w:sz="8" w:space="0"/>
            </w:tcBorders>
            <w:vAlign w:val="center"/>
          </w:tcPr>
          <w:p w14:paraId="233863CD">
            <w:pPr>
              <w:spacing w:before="0" w:after="0" w:line="240" w:lineRule="auto"/>
              <w:jc w:val="center"/>
              <w:rPr>
                <w:rFonts w:hint="eastAsia" w:eastAsia="宋体"/>
                <w:lang w:eastAsia="zh-CN"/>
              </w:rPr>
            </w:pPr>
            <w:r>
              <w:rPr>
                <w:rFonts w:ascii="Arial" w:hAnsi="Arial"/>
                <w:b w:val="0"/>
                <w:sz w:val="18"/>
              </w:rPr>
              <w:t>1.34</w:t>
            </w:r>
            <w:r>
              <w:rPr>
                <w:rFonts w:hint="eastAsia" w:eastAsia="宋体"/>
                <w:b w:val="0"/>
                <w:sz w:val="18"/>
                <w:lang w:val="en-US" w:eastAsia="zh-CN"/>
              </w:rPr>
              <w:t>9</w:t>
            </w:r>
          </w:p>
        </w:tc>
        <w:tc>
          <w:tcPr>
            <w:tcW w:w="1411" w:type="dxa"/>
            <w:tcBorders>
              <w:bottom w:val="single" w:color="000000" w:sz="8" w:space="0"/>
            </w:tcBorders>
            <w:vAlign w:val="center"/>
          </w:tcPr>
          <w:p w14:paraId="6834C207">
            <w:pPr>
              <w:spacing w:before="0" w:after="0" w:line="240" w:lineRule="auto"/>
              <w:jc w:val="center"/>
              <w:rPr>
                <w:rFonts w:hint="default" w:eastAsia="宋体"/>
                <w:lang w:val="en-US" w:eastAsia="zh-CN"/>
              </w:rPr>
            </w:pPr>
            <w:r>
              <w:rPr>
                <w:rFonts w:ascii="Arial" w:hAnsi="Arial"/>
                <w:b w:val="0"/>
                <w:sz w:val="18"/>
              </w:rPr>
              <w:t>0.7</w:t>
            </w:r>
            <w:r>
              <w:rPr>
                <w:rFonts w:hint="eastAsia" w:eastAsia="宋体"/>
                <w:b w:val="0"/>
                <w:sz w:val="18"/>
                <w:lang w:val="en-US" w:eastAsia="zh-CN"/>
              </w:rPr>
              <w:t>80</w:t>
            </w:r>
            <w:r>
              <w:rPr>
                <w:rFonts w:ascii="Arial" w:hAnsi="Arial"/>
                <w:b w:val="0"/>
                <w:sz w:val="18"/>
              </w:rPr>
              <w:t>–2.3</w:t>
            </w:r>
            <w:r>
              <w:rPr>
                <w:rFonts w:hint="eastAsia" w:eastAsia="宋体"/>
                <w:b w:val="0"/>
                <w:sz w:val="18"/>
                <w:lang w:val="en-US" w:eastAsia="zh-CN"/>
              </w:rPr>
              <w:t>34</w:t>
            </w:r>
          </w:p>
        </w:tc>
        <w:tc>
          <w:tcPr>
            <w:tcW w:w="864" w:type="dxa"/>
            <w:tcBorders>
              <w:bottom w:val="single" w:color="000000" w:sz="8" w:space="0"/>
            </w:tcBorders>
            <w:vAlign w:val="center"/>
          </w:tcPr>
          <w:p w14:paraId="01DA4566">
            <w:pPr>
              <w:spacing w:before="0" w:after="0" w:line="240" w:lineRule="auto"/>
              <w:jc w:val="center"/>
              <w:rPr>
                <w:rFonts w:hint="default" w:eastAsia="宋体"/>
                <w:lang w:val="en-US" w:eastAsia="zh-CN"/>
              </w:rPr>
            </w:pPr>
            <w:r>
              <w:rPr>
                <w:rFonts w:ascii="Arial" w:hAnsi="Arial"/>
                <w:b w:val="0"/>
                <w:sz w:val="18"/>
              </w:rPr>
              <w:t>0.2</w:t>
            </w:r>
            <w:r>
              <w:rPr>
                <w:rFonts w:hint="eastAsia" w:eastAsia="宋体"/>
                <w:b w:val="0"/>
                <w:sz w:val="18"/>
                <w:lang w:val="en-US" w:eastAsia="zh-CN"/>
              </w:rPr>
              <w:t>84</w:t>
            </w:r>
          </w:p>
        </w:tc>
      </w:tr>
    </w:tbl>
    <w:p w14:paraId="341CBB4B">
      <w:pPr>
        <w:keepNext/>
        <w:spacing w:before="240" w:after="80"/>
        <w:jc w:val="left"/>
        <w:rPr>
          <w:rFonts w:hint="eastAsia" w:ascii="Arial" w:hAnsi="Arial"/>
          <w:b w:val="0"/>
          <w:sz w:val="21"/>
        </w:rPr>
      </w:pPr>
    </w:p>
    <w:p w14:paraId="6250CCC7">
      <w:pPr>
        <w:keepNext/>
        <w:spacing w:before="240" w:after="80"/>
        <w:jc w:val="left"/>
        <w:rPr>
          <w:rFonts w:ascii="Arial" w:hAnsi="Arial"/>
          <w:b w:val="0"/>
          <w:sz w:val="21"/>
        </w:rPr>
      </w:pPr>
      <w:r>
        <w:rPr>
          <w:rFonts w:hint="eastAsia" w:ascii="Arial" w:hAnsi="Arial"/>
          <w:b w:val="0"/>
          <w:sz w:val="21"/>
        </w:rPr>
        <w:t>Supplementary Table 2. Comparison of demographic characteristics and pulmonary nodule imaging features in the independent metagenomic sequencing cohort</w:t>
      </w:r>
    </w:p>
    <w:tbl>
      <w:tblPr>
        <w:tblStyle w:val="32"/>
        <w:tblW w:w="0" w:type="auto"/>
        <w:jc w:val="center"/>
        <w:tblLayout w:type="fixed"/>
        <w:tblCellMar>
          <w:top w:w="0" w:type="dxa"/>
          <w:left w:w="108" w:type="dxa"/>
          <w:bottom w:w="0" w:type="dxa"/>
          <w:right w:w="108" w:type="dxa"/>
        </w:tblCellMar>
      </w:tblPr>
      <w:tblGrid>
        <w:gridCol w:w="2091"/>
        <w:gridCol w:w="2091"/>
        <w:gridCol w:w="2091"/>
        <w:gridCol w:w="2091"/>
        <w:gridCol w:w="2091"/>
      </w:tblGrid>
      <w:tr w14:paraId="3C05E5B5">
        <w:trPr>
          <w:tblHeader/>
          <w:jc w:val="center"/>
        </w:trPr>
        <w:tc>
          <w:tcPr>
            <w:tcW w:w="2091" w:type="dxa"/>
            <w:tcBorders>
              <w:top w:val="single" w:color="000000" w:sz="8" w:space="0"/>
              <w:bottom w:val="single" w:color="000000" w:sz="8" w:space="0"/>
            </w:tcBorders>
            <w:shd w:val="clear" w:color="auto" w:fill="auto"/>
            <w:vAlign w:val="center"/>
          </w:tcPr>
          <w:p w14:paraId="726C39EE">
            <w:pPr>
              <w:spacing w:before="0" w:after="0" w:line="240" w:lineRule="auto"/>
              <w:jc w:val="left"/>
              <w:rPr>
                <w:color w:val="000000" w:themeColor="text1"/>
                <w:highlight w:val="none"/>
                <w14:textFill>
                  <w14:solidFill>
                    <w14:schemeClr w14:val="tx1"/>
                  </w14:solidFill>
                </w14:textFill>
              </w:rPr>
            </w:pPr>
            <w:r>
              <w:rPr>
                <w:rFonts w:ascii="Arial" w:hAnsi="Arial"/>
                <w:b/>
                <w:color w:val="000000" w:themeColor="text1"/>
                <w:sz w:val="16"/>
                <w:highlight w:val="none"/>
                <w14:textFill>
                  <w14:solidFill>
                    <w14:schemeClr w14:val="tx1"/>
                  </w14:solidFill>
                </w14:textFill>
              </w:rPr>
              <w:t>Variable</w:t>
            </w:r>
          </w:p>
        </w:tc>
        <w:tc>
          <w:tcPr>
            <w:tcW w:w="2091" w:type="dxa"/>
            <w:tcBorders>
              <w:top w:val="single" w:color="000000" w:sz="8" w:space="0"/>
              <w:bottom w:val="single" w:color="000000" w:sz="8" w:space="0"/>
            </w:tcBorders>
            <w:shd w:val="clear" w:color="auto" w:fill="auto"/>
            <w:vAlign w:val="center"/>
          </w:tcPr>
          <w:p w14:paraId="30CFB777">
            <w:pPr>
              <w:spacing w:before="0" w:after="0" w:line="240" w:lineRule="auto"/>
              <w:jc w:val="center"/>
              <w:rPr>
                <w:color w:val="000000" w:themeColor="text1"/>
                <w:highlight w:val="none"/>
                <w14:textFill>
                  <w14:solidFill>
                    <w14:schemeClr w14:val="tx1"/>
                  </w14:solidFill>
                </w14:textFill>
              </w:rPr>
            </w:pPr>
            <w:r>
              <w:rPr>
                <w:rFonts w:ascii="Arial" w:hAnsi="Arial"/>
                <w:b/>
                <w:color w:val="000000" w:themeColor="text1"/>
                <w:sz w:val="16"/>
                <w:highlight w:val="none"/>
                <w14:textFill>
                  <w14:solidFill>
                    <w14:schemeClr w14:val="tx1"/>
                  </w14:solidFill>
                </w14:textFill>
              </w:rPr>
              <w:t>HC</w:t>
            </w:r>
          </w:p>
        </w:tc>
        <w:tc>
          <w:tcPr>
            <w:tcW w:w="2091" w:type="dxa"/>
            <w:tcBorders>
              <w:top w:val="single" w:color="000000" w:sz="8" w:space="0"/>
              <w:bottom w:val="single" w:color="000000" w:sz="8" w:space="0"/>
            </w:tcBorders>
            <w:shd w:val="clear" w:color="auto" w:fill="auto"/>
            <w:vAlign w:val="center"/>
          </w:tcPr>
          <w:p w14:paraId="41306D14">
            <w:pPr>
              <w:spacing w:before="0" w:after="0" w:line="240" w:lineRule="auto"/>
              <w:jc w:val="center"/>
              <w:rPr>
                <w:color w:val="000000" w:themeColor="text1"/>
                <w:highlight w:val="none"/>
                <w14:textFill>
                  <w14:solidFill>
                    <w14:schemeClr w14:val="tx1"/>
                  </w14:solidFill>
                </w14:textFill>
              </w:rPr>
            </w:pPr>
            <w:r>
              <w:rPr>
                <w:rFonts w:ascii="Arial" w:hAnsi="Arial"/>
                <w:b/>
                <w:color w:val="000000" w:themeColor="text1"/>
                <w:sz w:val="16"/>
                <w:highlight w:val="none"/>
                <w14:textFill>
                  <w14:solidFill>
                    <w14:schemeClr w14:val="tx1"/>
                  </w14:solidFill>
                </w14:textFill>
              </w:rPr>
              <w:t>NGT</w:t>
            </w:r>
          </w:p>
        </w:tc>
        <w:tc>
          <w:tcPr>
            <w:tcW w:w="2091" w:type="dxa"/>
            <w:tcBorders>
              <w:top w:val="single" w:color="000000" w:sz="8" w:space="0"/>
              <w:bottom w:val="single" w:color="000000" w:sz="8" w:space="0"/>
            </w:tcBorders>
            <w:shd w:val="clear" w:color="auto" w:fill="auto"/>
            <w:vAlign w:val="center"/>
          </w:tcPr>
          <w:p w14:paraId="3C66C2A6">
            <w:pPr>
              <w:spacing w:before="0" w:after="0" w:line="240" w:lineRule="auto"/>
              <w:jc w:val="center"/>
              <w:rPr>
                <w:color w:val="000000" w:themeColor="text1"/>
                <w:highlight w:val="none"/>
                <w14:textFill>
                  <w14:solidFill>
                    <w14:schemeClr w14:val="tx1"/>
                  </w14:solidFill>
                </w14:textFill>
              </w:rPr>
            </w:pPr>
            <w:r>
              <w:rPr>
                <w:rFonts w:ascii="Arial" w:hAnsi="Arial"/>
                <w:b/>
                <w:color w:val="000000" w:themeColor="text1"/>
                <w:sz w:val="16"/>
                <w:highlight w:val="none"/>
                <w14:textFill>
                  <w14:solidFill>
                    <w14:schemeClr w14:val="tx1"/>
                  </w14:solidFill>
                </w14:textFill>
              </w:rPr>
              <w:t>GT</w:t>
            </w:r>
          </w:p>
        </w:tc>
        <w:tc>
          <w:tcPr>
            <w:tcW w:w="2091" w:type="dxa"/>
            <w:tcBorders>
              <w:top w:val="single" w:color="000000" w:sz="8" w:space="0"/>
              <w:bottom w:val="single" w:color="000000" w:sz="8" w:space="0"/>
            </w:tcBorders>
            <w:shd w:val="clear" w:color="auto" w:fill="auto"/>
            <w:vAlign w:val="center"/>
          </w:tcPr>
          <w:p w14:paraId="044352A4">
            <w:pPr>
              <w:spacing w:before="0" w:after="0" w:line="240" w:lineRule="auto"/>
              <w:jc w:val="center"/>
              <w:rPr>
                <w:color w:val="000000" w:themeColor="text1"/>
                <w:highlight w:val="none"/>
                <w14:textFill>
                  <w14:solidFill>
                    <w14:schemeClr w14:val="tx1"/>
                  </w14:solidFill>
                </w14:textFill>
              </w:rPr>
            </w:pPr>
            <w:r>
              <w:rPr>
                <w:rFonts w:ascii="Arial" w:hAnsi="Arial"/>
                <w:b/>
                <w:color w:val="000000" w:themeColor="text1"/>
                <w:sz w:val="16"/>
                <w:highlight w:val="none"/>
                <w14:textFill>
                  <w14:solidFill>
                    <w14:schemeClr w14:val="tx1"/>
                  </w14:solidFill>
                </w14:textFill>
              </w:rPr>
              <w:t>P value</w:t>
            </w:r>
          </w:p>
        </w:tc>
      </w:tr>
      <w:tr w14:paraId="207DDA60">
        <w:tblPrEx>
          <w:tblCellMar>
            <w:top w:w="0" w:type="dxa"/>
            <w:left w:w="108" w:type="dxa"/>
            <w:bottom w:w="0" w:type="dxa"/>
            <w:right w:w="108" w:type="dxa"/>
          </w:tblCellMar>
        </w:tblPrEx>
        <w:trPr>
          <w:jc w:val="center"/>
        </w:trPr>
        <w:tc>
          <w:tcPr>
            <w:tcW w:w="2091" w:type="dxa"/>
            <w:tcBorders>
              <w:bottom w:val="nil"/>
            </w:tcBorders>
            <w:vAlign w:val="center"/>
          </w:tcPr>
          <w:p w14:paraId="28B3D419">
            <w:pPr>
              <w:spacing w:before="0" w:after="0" w:line="240" w:lineRule="auto"/>
              <w:jc w:val="left"/>
            </w:pPr>
            <w:r>
              <w:rPr>
                <w:rFonts w:ascii="Arial" w:hAnsi="Arial"/>
                <w:b w:val="0"/>
                <w:sz w:val="16"/>
              </w:rPr>
              <w:t>Sample size, n</w:t>
            </w:r>
          </w:p>
        </w:tc>
        <w:tc>
          <w:tcPr>
            <w:tcW w:w="2091" w:type="dxa"/>
            <w:tcBorders>
              <w:bottom w:val="nil"/>
            </w:tcBorders>
            <w:vAlign w:val="center"/>
          </w:tcPr>
          <w:p w14:paraId="53E5814B">
            <w:pPr>
              <w:spacing w:before="0" w:after="0" w:line="240" w:lineRule="auto"/>
              <w:jc w:val="center"/>
            </w:pPr>
            <w:r>
              <w:rPr>
                <w:rFonts w:ascii="Arial" w:hAnsi="Arial"/>
                <w:b w:val="0"/>
                <w:sz w:val="16"/>
              </w:rPr>
              <w:t>30</w:t>
            </w:r>
          </w:p>
        </w:tc>
        <w:tc>
          <w:tcPr>
            <w:tcW w:w="2091" w:type="dxa"/>
            <w:tcBorders>
              <w:bottom w:val="nil"/>
            </w:tcBorders>
            <w:vAlign w:val="center"/>
          </w:tcPr>
          <w:p w14:paraId="6BDA9148">
            <w:pPr>
              <w:spacing w:before="0" w:after="0" w:line="240" w:lineRule="auto"/>
              <w:jc w:val="center"/>
            </w:pPr>
            <w:r>
              <w:rPr>
                <w:rFonts w:ascii="Arial" w:hAnsi="Arial"/>
                <w:b w:val="0"/>
                <w:sz w:val="16"/>
              </w:rPr>
              <w:t>60</w:t>
            </w:r>
          </w:p>
        </w:tc>
        <w:tc>
          <w:tcPr>
            <w:tcW w:w="2091" w:type="dxa"/>
            <w:tcBorders>
              <w:bottom w:val="nil"/>
            </w:tcBorders>
            <w:vAlign w:val="center"/>
          </w:tcPr>
          <w:p w14:paraId="7D5B56B6">
            <w:pPr>
              <w:spacing w:before="0" w:after="0" w:line="240" w:lineRule="auto"/>
              <w:jc w:val="center"/>
            </w:pPr>
            <w:r>
              <w:rPr>
                <w:rFonts w:ascii="Arial" w:hAnsi="Arial"/>
                <w:b w:val="0"/>
                <w:sz w:val="16"/>
              </w:rPr>
              <w:t>60</w:t>
            </w:r>
          </w:p>
        </w:tc>
        <w:tc>
          <w:tcPr>
            <w:tcW w:w="2091" w:type="dxa"/>
            <w:tcBorders>
              <w:bottom w:val="nil"/>
            </w:tcBorders>
            <w:vAlign w:val="center"/>
          </w:tcPr>
          <w:p w14:paraId="1CF0D797">
            <w:pPr>
              <w:spacing w:before="0" w:after="0" w:line="240" w:lineRule="auto"/>
              <w:jc w:val="center"/>
            </w:pPr>
          </w:p>
        </w:tc>
      </w:tr>
      <w:tr w14:paraId="710E65E1">
        <w:tblPrEx>
          <w:tblCellMar>
            <w:top w:w="0" w:type="dxa"/>
            <w:left w:w="108" w:type="dxa"/>
            <w:bottom w:w="0" w:type="dxa"/>
            <w:right w:w="108" w:type="dxa"/>
          </w:tblCellMar>
        </w:tblPrEx>
        <w:trPr>
          <w:jc w:val="center"/>
        </w:trPr>
        <w:tc>
          <w:tcPr>
            <w:tcW w:w="2091" w:type="dxa"/>
            <w:tcBorders>
              <w:bottom w:val="nil"/>
            </w:tcBorders>
            <w:vAlign w:val="center"/>
          </w:tcPr>
          <w:p w14:paraId="69C97EA5">
            <w:pPr>
              <w:spacing w:before="0" w:after="0" w:line="240" w:lineRule="auto"/>
              <w:jc w:val="left"/>
            </w:pPr>
            <w:r>
              <w:rPr>
                <w:rFonts w:ascii="Arial" w:hAnsi="Arial"/>
                <w:b w:val="0"/>
                <w:sz w:val="16"/>
              </w:rPr>
              <w:t>Age, years</w:t>
            </w:r>
          </w:p>
        </w:tc>
        <w:tc>
          <w:tcPr>
            <w:tcW w:w="2091" w:type="dxa"/>
            <w:tcBorders>
              <w:bottom w:val="nil"/>
            </w:tcBorders>
            <w:vAlign w:val="center"/>
          </w:tcPr>
          <w:p w14:paraId="7EB6EA1F">
            <w:pPr>
              <w:spacing w:before="0" w:after="0" w:line="240" w:lineRule="auto"/>
              <w:jc w:val="center"/>
            </w:pPr>
            <w:r>
              <w:rPr>
                <w:rFonts w:ascii="Arial" w:hAnsi="Arial"/>
                <w:b w:val="0"/>
                <w:sz w:val="16"/>
              </w:rPr>
              <w:t>55.00 (50.00, 61.50)</w:t>
            </w:r>
          </w:p>
        </w:tc>
        <w:tc>
          <w:tcPr>
            <w:tcW w:w="2091" w:type="dxa"/>
            <w:tcBorders>
              <w:bottom w:val="nil"/>
            </w:tcBorders>
            <w:vAlign w:val="center"/>
          </w:tcPr>
          <w:p w14:paraId="632DF2B2">
            <w:pPr>
              <w:spacing w:before="0" w:after="0" w:line="240" w:lineRule="auto"/>
              <w:jc w:val="center"/>
            </w:pPr>
            <w:r>
              <w:rPr>
                <w:rFonts w:ascii="Arial" w:hAnsi="Arial"/>
                <w:b w:val="0"/>
                <w:sz w:val="16"/>
              </w:rPr>
              <w:t>60.00 (51.75, 63.00)</w:t>
            </w:r>
          </w:p>
        </w:tc>
        <w:tc>
          <w:tcPr>
            <w:tcW w:w="2091" w:type="dxa"/>
            <w:tcBorders>
              <w:bottom w:val="nil"/>
            </w:tcBorders>
            <w:vAlign w:val="center"/>
          </w:tcPr>
          <w:p w14:paraId="287A2EC0">
            <w:pPr>
              <w:spacing w:before="0" w:after="0" w:line="240" w:lineRule="auto"/>
              <w:jc w:val="center"/>
            </w:pPr>
            <w:r>
              <w:rPr>
                <w:rFonts w:ascii="Arial" w:hAnsi="Arial"/>
                <w:b w:val="0"/>
                <w:sz w:val="16"/>
              </w:rPr>
              <w:t>54.00 (44.75, 61.25)</w:t>
            </w:r>
          </w:p>
        </w:tc>
        <w:tc>
          <w:tcPr>
            <w:tcW w:w="2091" w:type="dxa"/>
            <w:tcBorders>
              <w:bottom w:val="nil"/>
            </w:tcBorders>
            <w:vAlign w:val="center"/>
          </w:tcPr>
          <w:p w14:paraId="24F890C6">
            <w:pPr>
              <w:spacing w:before="0" w:after="0" w:line="240" w:lineRule="auto"/>
              <w:jc w:val="center"/>
              <w:rPr>
                <w:rFonts w:hint="eastAsia" w:eastAsia="宋体"/>
                <w:lang w:val="en-US" w:eastAsia="zh-CN"/>
              </w:rPr>
            </w:pPr>
            <w:r>
              <w:rPr>
                <w:rFonts w:ascii="Arial" w:hAnsi="Arial"/>
                <w:b w:val="0"/>
                <w:sz w:val="16"/>
              </w:rPr>
              <w:t>0.13</w:t>
            </w:r>
            <w:r>
              <w:rPr>
                <w:rFonts w:hint="eastAsia" w:eastAsia="宋体"/>
                <w:b w:val="0"/>
                <w:sz w:val="16"/>
                <w:lang w:val="en-US" w:eastAsia="zh-CN"/>
              </w:rPr>
              <w:t>9</w:t>
            </w:r>
            <w:bookmarkStart w:id="0" w:name="_GoBack"/>
            <w:bookmarkEnd w:id="0"/>
          </w:p>
        </w:tc>
      </w:tr>
      <w:tr w14:paraId="0EE90232">
        <w:tblPrEx>
          <w:tblCellMar>
            <w:top w:w="0" w:type="dxa"/>
            <w:left w:w="108" w:type="dxa"/>
            <w:bottom w:w="0" w:type="dxa"/>
            <w:right w:w="108" w:type="dxa"/>
          </w:tblCellMar>
        </w:tblPrEx>
        <w:trPr>
          <w:jc w:val="center"/>
        </w:trPr>
        <w:tc>
          <w:tcPr>
            <w:tcW w:w="2091" w:type="dxa"/>
            <w:tcBorders>
              <w:bottom w:val="nil"/>
            </w:tcBorders>
            <w:vAlign w:val="center"/>
          </w:tcPr>
          <w:p w14:paraId="6D6C9D63">
            <w:pPr>
              <w:spacing w:before="0" w:after="0" w:line="240" w:lineRule="auto"/>
              <w:jc w:val="left"/>
            </w:pPr>
            <w:r>
              <w:rPr>
                <w:rFonts w:ascii="Arial" w:hAnsi="Arial"/>
                <w:b w:val="0"/>
                <w:sz w:val="16"/>
              </w:rPr>
              <w:t>Male, n (%)</w:t>
            </w:r>
          </w:p>
        </w:tc>
        <w:tc>
          <w:tcPr>
            <w:tcW w:w="2091" w:type="dxa"/>
            <w:tcBorders>
              <w:bottom w:val="nil"/>
            </w:tcBorders>
            <w:vAlign w:val="center"/>
          </w:tcPr>
          <w:p w14:paraId="4F93FBD5">
            <w:pPr>
              <w:spacing w:before="0" w:after="0" w:line="240" w:lineRule="auto"/>
              <w:jc w:val="center"/>
            </w:pPr>
            <w:r>
              <w:rPr>
                <w:rFonts w:ascii="Arial" w:hAnsi="Arial"/>
                <w:b w:val="0"/>
                <w:sz w:val="16"/>
              </w:rPr>
              <w:t>13 (43.3%)</w:t>
            </w:r>
          </w:p>
        </w:tc>
        <w:tc>
          <w:tcPr>
            <w:tcW w:w="2091" w:type="dxa"/>
            <w:tcBorders>
              <w:bottom w:val="nil"/>
            </w:tcBorders>
            <w:vAlign w:val="center"/>
          </w:tcPr>
          <w:p w14:paraId="7F28526A">
            <w:pPr>
              <w:spacing w:before="0" w:after="0" w:line="240" w:lineRule="auto"/>
              <w:jc w:val="center"/>
            </w:pPr>
            <w:r>
              <w:rPr>
                <w:rFonts w:ascii="Arial" w:hAnsi="Arial"/>
                <w:b w:val="0"/>
                <w:sz w:val="16"/>
              </w:rPr>
              <w:t>24 (40.0%)</w:t>
            </w:r>
          </w:p>
        </w:tc>
        <w:tc>
          <w:tcPr>
            <w:tcW w:w="2091" w:type="dxa"/>
            <w:tcBorders>
              <w:bottom w:val="nil"/>
            </w:tcBorders>
            <w:vAlign w:val="center"/>
          </w:tcPr>
          <w:p w14:paraId="013209F5">
            <w:pPr>
              <w:spacing w:before="0" w:after="0" w:line="240" w:lineRule="auto"/>
              <w:jc w:val="center"/>
            </w:pPr>
            <w:r>
              <w:rPr>
                <w:rFonts w:ascii="Arial" w:hAnsi="Arial"/>
                <w:b w:val="0"/>
                <w:sz w:val="16"/>
              </w:rPr>
              <w:t>27 (45.0%)</w:t>
            </w:r>
          </w:p>
        </w:tc>
        <w:tc>
          <w:tcPr>
            <w:tcW w:w="2091" w:type="dxa"/>
            <w:tcBorders>
              <w:bottom w:val="nil"/>
            </w:tcBorders>
            <w:vAlign w:val="center"/>
          </w:tcPr>
          <w:p w14:paraId="0DD9F487">
            <w:pPr>
              <w:spacing w:before="0" w:after="0" w:line="240" w:lineRule="auto"/>
              <w:jc w:val="center"/>
            </w:pPr>
            <w:r>
              <w:rPr>
                <w:rFonts w:ascii="Arial" w:hAnsi="Arial"/>
                <w:b w:val="0"/>
                <w:sz w:val="16"/>
              </w:rPr>
              <w:t>0.855</w:t>
            </w:r>
          </w:p>
        </w:tc>
      </w:tr>
      <w:tr w14:paraId="685274EF">
        <w:tblPrEx>
          <w:tblCellMar>
            <w:top w:w="0" w:type="dxa"/>
            <w:left w:w="108" w:type="dxa"/>
            <w:bottom w:w="0" w:type="dxa"/>
            <w:right w:w="108" w:type="dxa"/>
          </w:tblCellMar>
        </w:tblPrEx>
        <w:trPr>
          <w:jc w:val="center"/>
        </w:trPr>
        <w:tc>
          <w:tcPr>
            <w:tcW w:w="2091" w:type="dxa"/>
            <w:tcBorders>
              <w:bottom w:val="nil"/>
            </w:tcBorders>
            <w:vAlign w:val="center"/>
          </w:tcPr>
          <w:p w14:paraId="3E6FD7AE">
            <w:pPr>
              <w:spacing w:before="0" w:after="0" w:line="240" w:lineRule="auto"/>
              <w:jc w:val="left"/>
            </w:pPr>
            <w:r>
              <w:rPr>
                <w:rFonts w:hint="eastAsia" w:ascii="Arial" w:hAnsi="Arial"/>
                <w:b w:val="0"/>
                <w:sz w:val="16"/>
              </w:rPr>
              <w:t>Average nodule</w:t>
            </w:r>
            <w:r>
              <w:rPr>
                <w:rFonts w:ascii="Arial" w:hAnsi="Arial"/>
                <w:b w:val="0"/>
                <w:sz w:val="16"/>
              </w:rPr>
              <w:t xml:space="preserve"> diameter, mm</w:t>
            </w:r>
          </w:p>
        </w:tc>
        <w:tc>
          <w:tcPr>
            <w:tcW w:w="2091" w:type="dxa"/>
            <w:tcBorders>
              <w:bottom w:val="nil"/>
            </w:tcBorders>
            <w:vAlign w:val="center"/>
          </w:tcPr>
          <w:p w14:paraId="223E50F8">
            <w:pPr>
              <w:spacing w:before="0" w:after="0" w:line="240" w:lineRule="auto"/>
              <w:jc w:val="center"/>
            </w:pPr>
            <w:r>
              <w:rPr>
                <w:rFonts w:ascii="Arial" w:hAnsi="Arial"/>
                <w:b w:val="0"/>
                <w:sz w:val="16"/>
              </w:rPr>
              <w:t>—</w:t>
            </w:r>
          </w:p>
        </w:tc>
        <w:tc>
          <w:tcPr>
            <w:tcW w:w="2091" w:type="dxa"/>
            <w:tcBorders>
              <w:bottom w:val="nil"/>
            </w:tcBorders>
            <w:vAlign w:val="center"/>
          </w:tcPr>
          <w:p w14:paraId="66634E0E">
            <w:pPr>
              <w:spacing w:before="0" w:after="0" w:line="240" w:lineRule="auto"/>
              <w:jc w:val="center"/>
            </w:pPr>
            <w:r>
              <w:rPr>
                <w:rFonts w:ascii="Arial" w:hAnsi="Arial"/>
                <w:b w:val="0"/>
                <w:sz w:val="16"/>
              </w:rPr>
              <w:t>7.50 (6.50, 9.50)</w:t>
            </w:r>
          </w:p>
        </w:tc>
        <w:tc>
          <w:tcPr>
            <w:tcW w:w="2091" w:type="dxa"/>
            <w:tcBorders>
              <w:bottom w:val="nil"/>
            </w:tcBorders>
            <w:vAlign w:val="center"/>
          </w:tcPr>
          <w:p w14:paraId="04C7F72C">
            <w:pPr>
              <w:spacing w:before="0" w:after="0" w:line="240" w:lineRule="auto"/>
              <w:jc w:val="center"/>
            </w:pPr>
            <w:r>
              <w:rPr>
                <w:rFonts w:ascii="Arial" w:hAnsi="Arial"/>
                <w:b w:val="0"/>
                <w:sz w:val="16"/>
              </w:rPr>
              <w:t>7.50 (6.50, 9.00)</w:t>
            </w:r>
          </w:p>
        </w:tc>
        <w:tc>
          <w:tcPr>
            <w:tcW w:w="2091" w:type="dxa"/>
            <w:tcBorders>
              <w:bottom w:val="nil"/>
            </w:tcBorders>
            <w:vAlign w:val="center"/>
          </w:tcPr>
          <w:p w14:paraId="2A7B982A">
            <w:pPr>
              <w:spacing w:before="0" w:after="0" w:line="240" w:lineRule="auto"/>
              <w:jc w:val="center"/>
            </w:pPr>
            <w:r>
              <w:rPr>
                <w:rFonts w:ascii="Arial" w:hAnsi="Arial"/>
                <w:b w:val="0"/>
                <w:sz w:val="16"/>
              </w:rPr>
              <w:t>0.259</w:t>
            </w:r>
          </w:p>
        </w:tc>
      </w:tr>
      <w:tr w14:paraId="3FD1EAFA">
        <w:tblPrEx>
          <w:tblCellMar>
            <w:top w:w="0" w:type="dxa"/>
            <w:left w:w="108" w:type="dxa"/>
            <w:bottom w:w="0" w:type="dxa"/>
            <w:right w:w="108" w:type="dxa"/>
          </w:tblCellMar>
        </w:tblPrEx>
        <w:trPr>
          <w:jc w:val="center"/>
        </w:trPr>
        <w:tc>
          <w:tcPr>
            <w:tcW w:w="2091" w:type="dxa"/>
            <w:tcBorders>
              <w:bottom w:val="nil"/>
            </w:tcBorders>
            <w:vAlign w:val="center"/>
          </w:tcPr>
          <w:p w14:paraId="0F5BBC1F">
            <w:pPr>
              <w:spacing w:before="0" w:after="0" w:line="240" w:lineRule="auto"/>
              <w:jc w:val="left"/>
            </w:pPr>
            <w:r>
              <w:rPr>
                <w:rFonts w:ascii="Arial" w:hAnsi="Arial"/>
                <w:b w:val="0"/>
                <w:sz w:val="16"/>
              </w:rPr>
              <w:t>Nodule type, n (%)</w:t>
            </w:r>
          </w:p>
        </w:tc>
        <w:tc>
          <w:tcPr>
            <w:tcW w:w="2091" w:type="dxa"/>
            <w:tcBorders>
              <w:bottom w:val="nil"/>
            </w:tcBorders>
            <w:vAlign w:val="center"/>
          </w:tcPr>
          <w:p w14:paraId="72D92840">
            <w:pPr>
              <w:spacing w:before="0" w:after="0" w:line="240" w:lineRule="auto"/>
              <w:jc w:val="center"/>
            </w:pPr>
            <w:r>
              <w:rPr>
                <w:rFonts w:ascii="Arial" w:hAnsi="Arial"/>
                <w:b w:val="0"/>
                <w:sz w:val="16"/>
              </w:rPr>
              <w:t>—</w:t>
            </w:r>
          </w:p>
        </w:tc>
        <w:tc>
          <w:tcPr>
            <w:tcW w:w="2091" w:type="dxa"/>
            <w:tcBorders>
              <w:bottom w:val="nil"/>
            </w:tcBorders>
            <w:vAlign w:val="center"/>
          </w:tcPr>
          <w:p w14:paraId="48C5FDF8">
            <w:pPr>
              <w:spacing w:before="0" w:after="0" w:line="240" w:lineRule="auto"/>
              <w:jc w:val="center"/>
            </w:pPr>
          </w:p>
        </w:tc>
        <w:tc>
          <w:tcPr>
            <w:tcW w:w="2091" w:type="dxa"/>
            <w:tcBorders>
              <w:bottom w:val="nil"/>
            </w:tcBorders>
            <w:vAlign w:val="center"/>
          </w:tcPr>
          <w:p w14:paraId="74E3B7AE">
            <w:pPr>
              <w:spacing w:before="0" w:after="0" w:line="240" w:lineRule="auto"/>
              <w:jc w:val="center"/>
            </w:pPr>
          </w:p>
        </w:tc>
        <w:tc>
          <w:tcPr>
            <w:tcW w:w="2091" w:type="dxa"/>
            <w:tcBorders>
              <w:bottom w:val="nil"/>
            </w:tcBorders>
            <w:vAlign w:val="center"/>
          </w:tcPr>
          <w:p w14:paraId="33E6A359">
            <w:pPr>
              <w:spacing w:before="0" w:after="0" w:line="240" w:lineRule="auto"/>
              <w:jc w:val="center"/>
            </w:pPr>
            <w:r>
              <w:rPr>
                <w:rFonts w:ascii="Arial" w:hAnsi="Arial"/>
                <w:b w:val="0"/>
                <w:sz w:val="16"/>
              </w:rPr>
              <w:t>0.829</w:t>
            </w:r>
          </w:p>
        </w:tc>
      </w:tr>
      <w:tr w14:paraId="64510C36">
        <w:tblPrEx>
          <w:tblCellMar>
            <w:top w:w="0" w:type="dxa"/>
            <w:left w:w="108" w:type="dxa"/>
            <w:bottom w:w="0" w:type="dxa"/>
            <w:right w:w="108" w:type="dxa"/>
          </w:tblCellMar>
        </w:tblPrEx>
        <w:trPr>
          <w:jc w:val="center"/>
        </w:trPr>
        <w:tc>
          <w:tcPr>
            <w:tcW w:w="2091" w:type="dxa"/>
            <w:tcBorders>
              <w:bottom w:val="nil"/>
            </w:tcBorders>
            <w:vAlign w:val="center"/>
          </w:tcPr>
          <w:p w14:paraId="62B51D8A">
            <w:pPr>
              <w:spacing w:before="0" w:after="0" w:line="240" w:lineRule="auto"/>
              <w:jc w:val="left"/>
            </w:pPr>
            <w:r>
              <w:rPr>
                <w:rFonts w:ascii="Arial" w:hAnsi="Arial"/>
                <w:b w:val="0"/>
                <w:sz w:val="16"/>
              </w:rPr>
              <w:t xml:space="preserve">  Pure ground-glass nodule</w:t>
            </w:r>
          </w:p>
        </w:tc>
        <w:tc>
          <w:tcPr>
            <w:tcW w:w="2091" w:type="dxa"/>
            <w:tcBorders>
              <w:bottom w:val="nil"/>
            </w:tcBorders>
            <w:vAlign w:val="center"/>
          </w:tcPr>
          <w:p w14:paraId="2EC83B49">
            <w:pPr>
              <w:spacing w:before="0" w:after="0" w:line="240" w:lineRule="auto"/>
              <w:jc w:val="center"/>
            </w:pPr>
            <w:r>
              <w:rPr>
                <w:rFonts w:ascii="Arial" w:hAnsi="Arial"/>
                <w:b w:val="0"/>
                <w:sz w:val="16"/>
              </w:rPr>
              <w:t>—</w:t>
            </w:r>
          </w:p>
        </w:tc>
        <w:tc>
          <w:tcPr>
            <w:tcW w:w="2091" w:type="dxa"/>
            <w:tcBorders>
              <w:bottom w:val="nil"/>
            </w:tcBorders>
            <w:vAlign w:val="center"/>
          </w:tcPr>
          <w:p w14:paraId="5A3F445A">
            <w:pPr>
              <w:spacing w:before="0" w:after="0" w:line="240" w:lineRule="auto"/>
              <w:jc w:val="center"/>
            </w:pPr>
            <w:r>
              <w:rPr>
                <w:rFonts w:ascii="Arial" w:hAnsi="Arial"/>
                <w:b w:val="0"/>
                <w:sz w:val="16"/>
              </w:rPr>
              <w:t>47 (78.3%)</w:t>
            </w:r>
          </w:p>
        </w:tc>
        <w:tc>
          <w:tcPr>
            <w:tcW w:w="2091" w:type="dxa"/>
            <w:tcBorders>
              <w:bottom w:val="nil"/>
            </w:tcBorders>
            <w:vAlign w:val="center"/>
          </w:tcPr>
          <w:p w14:paraId="744D860B">
            <w:pPr>
              <w:spacing w:before="0" w:after="0" w:line="240" w:lineRule="auto"/>
              <w:jc w:val="center"/>
            </w:pPr>
            <w:r>
              <w:rPr>
                <w:rFonts w:ascii="Arial" w:hAnsi="Arial"/>
                <w:b w:val="0"/>
                <w:sz w:val="16"/>
              </w:rPr>
              <w:t>45 (75.0%)</w:t>
            </w:r>
          </w:p>
        </w:tc>
        <w:tc>
          <w:tcPr>
            <w:tcW w:w="2091" w:type="dxa"/>
            <w:tcBorders>
              <w:bottom w:val="nil"/>
            </w:tcBorders>
            <w:vAlign w:val="center"/>
          </w:tcPr>
          <w:p w14:paraId="4D95E270">
            <w:pPr>
              <w:spacing w:before="0" w:after="0" w:line="240" w:lineRule="auto"/>
              <w:jc w:val="center"/>
            </w:pPr>
          </w:p>
        </w:tc>
      </w:tr>
      <w:tr w14:paraId="0FFC1C5D">
        <w:tblPrEx>
          <w:tblCellMar>
            <w:top w:w="0" w:type="dxa"/>
            <w:left w:w="108" w:type="dxa"/>
            <w:bottom w:w="0" w:type="dxa"/>
            <w:right w:w="108" w:type="dxa"/>
          </w:tblCellMar>
        </w:tblPrEx>
        <w:trPr>
          <w:jc w:val="center"/>
        </w:trPr>
        <w:tc>
          <w:tcPr>
            <w:tcW w:w="2091" w:type="dxa"/>
            <w:tcBorders>
              <w:bottom w:val="nil"/>
            </w:tcBorders>
            <w:vAlign w:val="center"/>
          </w:tcPr>
          <w:p w14:paraId="01F83BFD">
            <w:pPr>
              <w:spacing w:before="0" w:after="0" w:line="240" w:lineRule="auto"/>
              <w:jc w:val="left"/>
            </w:pPr>
            <w:r>
              <w:rPr>
                <w:rFonts w:ascii="Arial" w:hAnsi="Arial"/>
                <w:b w:val="0"/>
                <w:sz w:val="16"/>
              </w:rPr>
              <w:t xml:space="preserve">  Part-solid nodule</w:t>
            </w:r>
          </w:p>
        </w:tc>
        <w:tc>
          <w:tcPr>
            <w:tcW w:w="2091" w:type="dxa"/>
            <w:tcBorders>
              <w:bottom w:val="nil"/>
            </w:tcBorders>
            <w:vAlign w:val="center"/>
          </w:tcPr>
          <w:p w14:paraId="188DCB1E">
            <w:pPr>
              <w:spacing w:before="0" w:after="0" w:line="240" w:lineRule="auto"/>
              <w:jc w:val="center"/>
            </w:pPr>
            <w:r>
              <w:rPr>
                <w:rFonts w:ascii="Arial" w:hAnsi="Arial"/>
                <w:b w:val="0"/>
                <w:sz w:val="16"/>
              </w:rPr>
              <w:t>—</w:t>
            </w:r>
          </w:p>
        </w:tc>
        <w:tc>
          <w:tcPr>
            <w:tcW w:w="2091" w:type="dxa"/>
            <w:tcBorders>
              <w:bottom w:val="nil"/>
            </w:tcBorders>
            <w:vAlign w:val="center"/>
          </w:tcPr>
          <w:p w14:paraId="54BB89DA">
            <w:pPr>
              <w:spacing w:before="0" w:after="0" w:line="240" w:lineRule="auto"/>
              <w:jc w:val="center"/>
            </w:pPr>
            <w:r>
              <w:rPr>
                <w:rFonts w:ascii="Arial" w:hAnsi="Arial"/>
                <w:b w:val="0"/>
                <w:sz w:val="16"/>
              </w:rPr>
              <w:t>13 (21.7%)</w:t>
            </w:r>
          </w:p>
        </w:tc>
        <w:tc>
          <w:tcPr>
            <w:tcW w:w="2091" w:type="dxa"/>
            <w:tcBorders>
              <w:bottom w:val="nil"/>
            </w:tcBorders>
            <w:vAlign w:val="center"/>
          </w:tcPr>
          <w:p w14:paraId="2DFA7537">
            <w:pPr>
              <w:spacing w:before="0" w:after="0" w:line="240" w:lineRule="auto"/>
              <w:jc w:val="center"/>
            </w:pPr>
            <w:r>
              <w:rPr>
                <w:rFonts w:ascii="Arial" w:hAnsi="Arial"/>
                <w:b w:val="0"/>
                <w:sz w:val="16"/>
              </w:rPr>
              <w:t>15 (25.0%)</w:t>
            </w:r>
          </w:p>
        </w:tc>
        <w:tc>
          <w:tcPr>
            <w:tcW w:w="2091" w:type="dxa"/>
            <w:tcBorders>
              <w:bottom w:val="nil"/>
            </w:tcBorders>
            <w:vAlign w:val="center"/>
          </w:tcPr>
          <w:p w14:paraId="364E78A9">
            <w:pPr>
              <w:spacing w:before="0" w:after="0" w:line="240" w:lineRule="auto"/>
              <w:jc w:val="center"/>
            </w:pPr>
          </w:p>
        </w:tc>
      </w:tr>
      <w:tr w14:paraId="2F62BAB7">
        <w:tblPrEx>
          <w:tblCellMar>
            <w:top w:w="0" w:type="dxa"/>
            <w:left w:w="108" w:type="dxa"/>
            <w:bottom w:w="0" w:type="dxa"/>
            <w:right w:w="108" w:type="dxa"/>
          </w:tblCellMar>
        </w:tblPrEx>
        <w:trPr>
          <w:jc w:val="center"/>
        </w:trPr>
        <w:tc>
          <w:tcPr>
            <w:tcW w:w="2091" w:type="dxa"/>
            <w:tcBorders>
              <w:bottom w:val="nil"/>
            </w:tcBorders>
            <w:vAlign w:val="center"/>
          </w:tcPr>
          <w:p w14:paraId="1A34CDC2">
            <w:pPr>
              <w:spacing w:before="0" w:after="0" w:line="240" w:lineRule="auto"/>
              <w:jc w:val="left"/>
            </w:pPr>
            <w:r>
              <w:rPr>
                <w:rFonts w:hint="eastAsia" w:eastAsia="宋体"/>
                <w:b w:val="0"/>
                <w:sz w:val="16"/>
                <w:lang w:val="en-US" w:eastAsia="zh-CN"/>
              </w:rPr>
              <w:t>H</w:t>
            </w:r>
            <w:r>
              <w:rPr>
                <w:rFonts w:hint="eastAsia" w:ascii="Arial" w:hAnsi="Arial"/>
                <w:b w:val="0"/>
                <w:sz w:val="16"/>
              </w:rPr>
              <w:t>igh-risk CT features</w:t>
            </w:r>
            <w:r>
              <w:rPr>
                <w:rFonts w:ascii="Arial" w:hAnsi="Arial"/>
                <w:b w:val="0"/>
                <w:sz w:val="16"/>
              </w:rPr>
              <w:t>, n (%)</w:t>
            </w:r>
          </w:p>
        </w:tc>
        <w:tc>
          <w:tcPr>
            <w:tcW w:w="2091" w:type="dxa"/>
            <w:tcBorders>
              <w:bottom w:val="nil"/>
            </w:tcBorders>
            <w:vAlign w:val="center"/>
          </w:tcPr>
          <w:p w14:paraId="4C5FA11A">
            <w:pPr>
              <w:spacing w:before="0" w:after="0" w:line="240" w:lineRule="auto"/>
              <w:jc w:val="center"/>
            </w:pPr>
            <w:r>
              <w:rPr>
                <w:rFonts w:ascii="Arial" w:hAnsi="Arial"/>
                <w:b w:val="0"/>
                <w:sz w:val="16"/>
              </w:rPr>
              <w:t>—</w:t>
            </w:r>
          </w:p>
        </w:tc>
        <w:tc>
          <w:tcPr>
            <w:tcW w:w="2091" w:type="dxa"/>
            <w:tcBorders>
              <w:bottom w:val="nil"/>
            </w:tcBorders>
            <w:vAlign w:val="center"/>
          </w:tcPr>
          <w:p w14:paraId="5CD2DD78">
            <w:pPr>
              <w:spacing w:before="0" w:after="0" w:line="240" w:lineRule="auto"/>
              <w:jc w:val="center"/>
            </w:pPr>
            <w:r>
              <w:rPr>
                <w:rFonts w:ascii="Arial" w:hAnsi="Arial"/>
                <w:b w:val="0"/>
                <w:sz w:val="16"/>
              </w:rPr>
              <w:t>22 (36.7%)</w:t>
            </w:r>
          </w:p>
        </w:tc>
        <w:tc>
          <w:tcPr>
            <w:tcW w:w="2091" w:type="dxa"/>
            <w:tcBorders>
              <w:bottom w:val="nil"/>
            </w:tcBorders>
            <w:vAlign w:val="center"/>
          </w:tcPr>
          <w:p w14:paraId="2E605860">
            <w:pPr>
              <w:spacing w:before="0" w:after="0" w:line="240" w:lineRule="auto"/>
              <w:jc w:val="center"/>
            </w:pPr>
            <w:r>
              <w:rPr>
                <w:rFonts w:ascii="Arial" w:hAnsi="Arial"/>
                <w:b w:val="0"/>
                <w:sz w:val="16"/>
              </w:rPr>
              <w:t>17 (28.3%)</w:t>
            </w:r>
          </w:p>
        </w:tc>
        <w:tc>
          <w:tcPr>
            <w:tcW w:w="2091" w:type="dxa"/>
            <w:tcBorders>
              <w:bottom w:val="nil"/>
            </w:tcBorders>
            <w:vAlign w:val="center"/>
          </w:tcPr>
          <w:p w14:paraId="6A68F493">
            <w:pPr>
              <w:spacing w:before="0" w:after="0" w:line="240" w:lineRule="auto"/>
              <w:jc w:val="center"/>
            </w:pPr>
            <w:r>
              <w:rPr>
                <w:rFonts w:ascii="Arial" w:hAnsi="Arial"/>
                <w:b w:val="0"/>
                <w:sz w:val="16"/>
              </w:rPr>
              <w:t>0.436</w:t>
            </w:r>
          </w:p>
        </w:tc>
      </w:tr>
      <w:tr w14:paraId="4E7672FA">
        <w:tblPrEx>
          <w:tblCellMar>
            <w:top w:w="0" w:type="dxa"/>
            <w:left w:w="108" w:type="dxa"/>
            <w:bottom w:w="0" w:type="dxa"/>
            <w:right w:w="108" w:type="dxa"/>
          </w:tblCellMar>
        </w:tblPrEx>
        <w:trPr>
          <w:jc w:val="center"/>
        </w:trPr>
        <w:tc>
          <w:tcPr>
            <w:tcW w:w="2091" w:type="dxa"/>
            <w:tcBorders>
              <w:bottom w:val="single" w:color="000000" w:sz="8" w:space="0"/>
            </w:tcBorders>
            <w:vAlign w:val="center"/>
          </w:tcPr>
          <w:p w14:paraId="44C5E278">
            <w:pPr>
              <w:spacing w:before="0" w:after="0" w:line="240" w:lineRule="auto"/>
              <w:jc w:val="left"/>
              <w:rPr>
                <w:rFonts w:hint="eastAsia" w:ascii="Arial" w:hAnsi="Arial"/>
                <w:b w:val="0"/>
                <w:sz w:val="16"/>
              </w:rPr>
            </w:pPr>
          </w:p>
        </w:tc>
        <w:tc>
          <w:tcPr>
            <w:tcW w:w="2091" w:type="dxa"/>
            <w:tcBorders>
              <w:bottom w:val="single" w:color="000000" w:sz="8" w:space="0"/>
            </w:tcBorders>
            <w:vAlign w:val="center"/>
          </w:tcPr>
          <w:p w14:paraId="6E1F3D65">
            <w:pPr>
              <w:spacing w:before="0" w:after="0" w:line="240" w:lineRule="auto"/>
              <w:jc w:val="center"/>
              <w:rPr>
                <w:rFonts w:ascii="Arial" w:hAnsi="Arial"/>
                <w:b w:val="0"/>
                <w:sz w:val="16"/>
              </w:rPr>
            </w:pPr>
          </w:p>
        </w:tc>
        <w:tc>
          <w:tcPr>
            <w:tcW w:w="2091" w:type="dxa"/>
            <w:tcBorders>
              <w:bottom w:val="single" w:color="000000" w:sz="8" w:space="0"/>
            </w:tcBorders>
            <w:vAlign w:val="center"/>
          </w:tcPr>
          <w:p w14:paraId="37E9792B">
            <w:pPr>
              <w:spacing w:before="0" w:after="0" w:line="240" w:lineRule="auto"/>
              <w:jc w:val="center"/>
              <w:rPr>
                <w:rFonts w:ascii="Arial" w:hAnsi="Arial"/>
                <w:b w:val="0"/>
                <w:sz w:val="16"/>
              </w:rPr>
            </w:pPr>
          </w:p>
        </w:tc>
        <w:tc>
          <w:tcPr>
            <w:tcW w:w="2091" w:type="dxa"/>
            <w:tcBorders>
              <w:bottom w:val="single" w:color="000000" w:sz="8" w:space="0"/>
            </w:tcBorders>
            <w:vAlign w:val="center"/>
          </w:tcPr>
          <w:p w14:paraId="6990D2E0">
            <w:pPr>
              <w:spacing w:before="0" w:after="0" w:line="240" w:lineRule="auto"/>
              <w:jc w:val="center"/>
              <w:rPr>
                <w:rFonts w:ascii="Arial" w:hAnsi="Arial"/>
                <w:b w:val="0"/>
                <w:sz w:val="16"/>
              </w:rPr>
            </w:pPr>
          </w:p>
        </w:tc>
        <w:tc>
          <w:tcPr>
            <w:tcW w:w="2091" w:type="dxa"/>
            <w:tcBorders>
              <w:bottom w:val="single" w:color="000000" w:sz="8" w:space="0"/>
            </w:tcBorders>
            <w:vAlign w:val="center"/>
          </w:tcPr>
          <w:p w14:paraId="1C01AC58">
            <w:pPr>
              <w:spacing w:before="0" w:after="0" w:line="240" w:lineRule="auto"/>
              <w:jc w:val="center"/>
              <w:rPr>
                <w:rFonts w:ascii="Arial" w:hAnsi="Arial"/>
                <w:b w:val="0"/>
                <w:sz w:val="16"/>
              </w:rPr>
            </w:pPr>
          </w:p>
        </w:tc>
      </w:tr>
    </w:tbl>
    <w:p w14:paraId="0D4DDFB8">
      <w:pPr>
        <w:spacing w:before="80" w:after="0"/>
        <w:jc w:val="left"/>
        <w:rPr>
          <w:rFonts w:hint="eastAsia" w:ascii="Arial" w:hAnsi="Arial"/>
          <w:sz w:val="16"/>
        </w:rPr>
      </w:pPr>
      <w:r>
        <w:rPr>
          <w:rFonts w:hint="eastAsia" w:ascii="Arial" w:hAnsi="Arial"/>
          <w:sz w:val="16"/>
        </w:rPr>
        <w:t xml:space="preserve">Note: Continuous variables are shown as median (interquartile range), and categorical variables as n (%). </w:t>
      </w:r>
    </w:p>
    <w:p w14:paraId="4661769C">
      <w:pPr>
        <w:spacing w:before="80" w:after="0"/>
        <w:jc w:val="left"/>
        <w:rPr>
          <w:rFonts w:hint="eastAsia" w:ascii="Arial" w:hAnsi="Arial"/>
          <w:sz w:val="16"/>
        </w:rPr>
      </w:pPr>
    </w:p>
    <w:p w14:paraId="4F9C9F73">
      <w:pPr>
        <w:spacing w:before="80" w:after="0"/>
        <w:jc w:val="left"/>
        <w:rPr>
          <w:rFonts w:hint="eastAsia" w:ascii="Arial" w:hAnsi="Arial"/>
          <w:sz w:val="16"/>
        </w:rPr>
      </w:pPr>
    </w:p>
    <w:p w14:paraId="4060E79E">
      <w:pPr>
        <w:spacing w:before="80" w:after="0"/>
        <w:jc w:val="left"/>
        <w:rPr>
          <w:rFonts w:hint="eastAsia" w:ascii="Arial" w:hAnsi="Arial"/>
          <w:sz w:val="16"/>
        </w:rPr>
      </w:pPr>
    </w:p>
    <w:p w14:paraId="36902B68">
      <w:pPr>
        <w:spacing w:before="80" w:after="0"/>
        <w:jc w:val="left"/>
        <w:rPr>
          <w:rFonts w:hint="eastAsia" w:ascii="Arial" w:hAnsi="Arial"/>
          <w:sz w:val="16"/>
        </w:rPr>
      </w:pPr>
    </w:p>
    <w:p w14:paraId="19A54200">
      <w:pPr>
        <w:spacing w:before="80" w:after="0"/>
        <w:jc w:val="left"/>
        <w:rPr>
          <w:rFonts w:hint="eastAsia" w:ascii="Arial" w:hAnsi="Arial"/>
          <w:sz w:val="16"/>
        </w:rPr>
      </w:pPr>
    </w:p>
    <w:p w14:paraId="489E2EAB">
      <w:pPr>
        <w:spacing w:before="80" w:after="0"/>
        <w:jc w:val="left"/>
        <w:rPr>
          <w:rFonts w:hint="eastAsia" w:ascii="Arial" w:hAnsi="Arial"/>
          <w:sz w:val="16"/>
        </w:rPr>
      </w:pPr>
    </w:p>
    <w:p w14:paraId="5947A056">
      <w:pPr>
        <w:spacing w:before="80" w:after="0"/>
        <w:jc w:val="left"/>
        <w:rPr>
          <w:rFonts w:hint="eastAsia" w:ascii="Arial" w:hAnsi="Arial"/>
          <w:sz w:val="16"/>
        </w:rPr>
      </w:pPr>
    </w:p>
    <w:p w14:paraId="12CB1246">
      <w:pPr>
        <w:spacing w:before="80" w:after="0"/>
        <w:jc w:val="left"/>
        <w:rPr>
          <w:rFonts w:hint="eastAsia" w:ascii="Arial" w:hAnsi="Arial"/>
          <w:sz w:val="16"/>
        </w:rPr>
      </w:pPr>
    </w:p>
    <w:p w14:paraId="47278058">
      <w:pPr>
        <w:spacing w:before="80" w:after="0"/>
        <w:jc w:val="left"/>
        <w:rPr>
          <w:rFonts w:hint="eastAsia" w:ascii="Arial" w:hAnsi="Arial"/>
          <w:sz w:val="16"/>
        </w:rPr>
      </w:pPr>
    </w:p>
    <w:p w14:paraId="773D20DB">
      <w:pPr>
        <w:spacing w:before="80" w:after="0"/>
        <w:jc w:val="left"/>
        <w:rPr>
          <w:rFonts w:hint="eastAsia" w:ascii="Arial" w:hAnsi="Arial"/>
          <w:sz w:val="16"/>
        </w:rPr>
      </w:pPr>
    </w:p>
    <w:p w14:paraId="5E29E2C3">
      <w:pPr>
        <w:spacing w:before="80" w:after="0"/>
        <w:jc w:val="left"/>
        <w:rPr>
          <w:rFonts w:hint="eastAsia" w:ascii="Arial" w:hAnsi="Arial"/>
          <w:sz w:val="16"/>
        </w:rPr>
      </w:pPr>
    </w:p>
    <w:p w14:paraId="22DEB9A5">
      <w:pPr>
        <w:spacing w:before="80" w:after="0"/>
        <w:jc w:val="left"/>
        <w:rPr>
          <w:rFonts w:hint="eastAsia" w:ascii="Arial" w:hAnsi="Arial"/>
          <w:sz w:val="16"/>
        </w:rPr>
      </w:pPr>
    </w:p>
    <w:p w14:paraId="23D6DA22">
      <w:pPr>
        <w:spacing w:before="80" w:after="0"/>
        <w:jc w:val="left"/>
        <w:rPr>
          <w:rFonts w:hint="eastAsia" w:ascii="Arial" w:hAnsi="Arial"/>
          <w:sz w:val="16"/>
        </w:rPr>
      </w:pPr>
    </w:p>
    <w:p w14:paraId="29C91587">
      <w:pPr>
        <w:spacing w:before="80" w:after="0"/>
        <w:jc w:val="left"/>
        <w:rPr>
          <w:rFonts w:hint="eastAsia" w:ascii="Arial" w:hAnsi="Arial"/>
          <w:sz w:val="16"/>
        </w:rPr>
      </w:pPr>
    </w:p>
    <w:p w14:paraId="570DD4CE">
      <w:pPr>
        <w:spacing w:before="80" w:after="0"/>
        <w:jc w:val="left"/>
        <w:rPr>
          <w:rFonts w:hint="eastAsia" w:ascii="Arial" w:hAnsi="Arial"/>
          <w:sz w:val="16"/>
        </w:rPr>
      </w:pPr>
    </w:p>
    <w:p w14:paraId="1A43E8C2">
      <w:pPr>
        <w:spacing w:before="80" w:after="0"/>
        <w:jc w:val="left"/>
        <w:rPr>
          <w:rFonts w:hint="eastAsia" w:ascii="Arial" w:hAnsi="Arial"/>
          <w:sz w:val="16"/>
        </w:rPr>
      </w:pPr>
    </w:p>
    <w:p w14:paraId="086080E1">
      <w:pPr>
        <w:spacing w:before="80" w:after="0"/>
        <w:jc w:val="left"/>
        <w:rPr>
          <w:rFonts w:hint="eastAsia" w:ascii="Arial" w:hAnsi="Arial"/>
          <w:sz w:val="16"/>
        </w:rPr>
      </w:pPr>
    </w:p>
    <w:p w14:paraId="37743FF6">
      <w:pPr>
        <w:spacing w:before="80" w:after="0"/>
        <w:jc w:val="left"/>
        <w:rPr>
          <w:rFonts w:hint="eastAsia" w:ascii="Arial" w:hAnsi="Arial"/>
          <w:sz w:val="16"/>
        </w:rPr>
      </w:pPr>
    </w:p>
    <w:p w14:paraId="261148F5">
      <w:pPr>
        <w:spacing w:before="80" w:after="0"/>
        <w:jc w:val="left"/>
        <w:rPr>
          <w:rFonts w:hint="eastAsia" w:ascii="Arial" w:hAnsi="Arial"/>
          <w:sz w:val="16"/>
        </w:rPr>
      </w:pPr>
    </w:p>
    <w:p w14:paraId="5306AD94">
      <w:pPr>
        <w:spacing w:before="80" w:after="0"/>
        <w:jc w:val="left"/>
        <w:rPr>
          <w:rFonts w:hint="eastAsia" w:ascii="Arial" w:hAnsi="Arial"/>
          <w:sz w:val="16"/>
        </w:rPr>
      </w:pPr>
    </w:p>
    <w:p w14:paraId="1728B313">
      <w:pPr>
        <w:spacing w:before="80" w:after="0"/>
        <w:jc w:val="left"/>
        <w:rPr>
          <w:rFonts w:hint="eastAsia" w:ascii="Arial" w:hAnsi="Arial"/>
          <w:sz w:val="16"/>
        </w:rPr>
      </w:pPr>
    </w:p>
    <w:p w14:paraId="6A6E3A32">
      <w:pPr>
        <w:spacing w:before="80" w:after="0"/>
        <w:jc w:val="left"/>
        <w:rPr>
          <w:rFonts w:hint="eastAsia" w:ascii="Arial" w:hAnsi="Arial"/>
          <w:sz w:val="16"/>
        </w:rPr>
      </w:pPr>
    </w:p>
    <w:p w14:paraId="77F3AA8F">
      <w:pPr>
        <w:spacing w:before="80" w:after="0"/>
        <w:jc w:val="left"/>
        <w:rPr>
          <w:rFonts w:hint="eastAsia" w:ascii="Arial" w:hAnsi="Arial"/>
          <w:sz w:val="16"/>
        </w:rPr>
      </w:pPr>
    </w:p>
    <w:p w14:paraId="6A9459C6">
      <w:pPr>
        <w:spacing w:before="80" w:after="0"/>
        <w:jc w:val="left"/>
        <w:rPr>
          <w:rFonts w:hint="eastAsia" w:ascii="Arial" w:hAnsi="Arial"/>
          <w:sz w:val="16"/>
        </w:rPr>
      </w:pPr>
    </w:p>
    <w:p w14:paraId="01E46CFB">
      <w:pPr>
        <w:spacing w:before="80" w:after="0"/>
        <w:jc w:val="left"/>
        <w:rPr>
          <w:rFonts w:hint="eastAsia" w:ascii="Arial" w:hAnsi="Arial"/>
          <w:sz w:val="16"/>
        </w:rPr>
      </w:pPr>
    </w:p>
    <w:p w14:paraId="6D13AE6C">
      <w:pPr>
        <w:spacing w:before="80" w:after="0"/>
        <w:jc w:val="left"/>
        <w:rPr>
          <w:rFonts w:hint="eastAsia" w:ascii="Arial" w:hAnsi="Arial"/>
          <w:sz w:val="16"/>
        </w:rPr>
      </w:pPr>
    </w:p>
    <w:p w14:paraId="67F196CA">
      <w:pPr>
        <w:spacing w:before="80" w:after="0"/>
        <w:jc w:val="left"/>
        <w:rPr>
          <w:rFonts w:hint="eastAsia" w:ascii="Arial" w:hAnsi="Arial"/>
          <w:sz w:val="16"/>
        </w:rPr>
      </w:pPr>
    </w:p>
    <w:p w14:paraId="6A2ECAB1">
      <w:pPr>
        <w:spacing w:before="80" w:after="0"/>
        <w:jc w:val="left"/>
        <w:rPr>
          <w:rFonts w:hint="eastAsia" w:ascii="Arial" w:hAnsi="Arial"/>
          <w:sz w:val="21"/>
          <w:szCs w:val="21"/>
        </w:rPr>
      </w:pPr>
      <w:r>
        <w:rPr>
          <w:rFonts w:hint="eastAsia" w:ascii="Arial" w:hAnsi="Arial"/>
          <w:sz w:val="21"/>
          <w:szCs w:val="21"/>
        </w:rPr>
        <w:t>Supplementary Figure 1. Correlations between GT-associated core species and differential MetaCyc pathways</w:t>
      </w:r>
    </w:p>
    <w:p w14:paraId="5AD7C137">
      <w:pPr>
        <w:spacing w:before="80" w:after="0"/>
        <w:jc w:val="center"/>
        <w:rPr>
          <w:rFonts w:hint="eastAsia" w:ascii="Arial" w:hAnsi="Arial" w:eastAsia="宋体"/>
          <w:sz w:val="21"/>
          <w:szCs w:val="21"/>
          <w:lang w:eastAsia="zh-CN"/>
        </w:rPr>
      </w:pPr>
      <w:r>
        <w:rPr>
          <w:rFonts w:hint="eastAsia" w:ascii="Arial" w:hAnsi="Arial" w:eastAsia="宋体"/>
          <w:sz w:val="21"/>
          <w:szCs w:val="21"/>
          <w:lang w:eastAsia="zh-CN"/>
        </w:rPr>
        <w:drawing>
          <wp:inline distT="0" distB="0" distL="114300" distR="114300">
            <wp:extent cx="5095240" cy="3112770"/>
            <wp:effectExtent l="0" t="0" r="10160" b="11430"/>
            <wp:docPr id="7" name="图片 7" descr="图片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9"/>
                    <pic:cNvPicPr>
                      <a:picLocks noChangeAspect="1"/>
                    </pic:cNvPicPr>
                  </pic:nvPicPr>
                  <pic:blipFill>
                    <a:blip r:embed="rId6"/>
                    <a:stretch>
                      <a:fillRect/>
                    </a:stretch>
                  </pic:blipFill>
                  <pic:spPr>
                    <a:xfrm>
                      <a:off x="0" y="0"/>
                      <a:ext cx="5095240" cy="3112770"/>
                    </a:xfrm>
                    <a:prstGeom prst="rect">
                      <a:avLst/>
                    </a:prstGeom>
                  </pic:spPr>
                </pic:pic>
              </a:graphicData>
            </a:graphic>
          </wp:inline>
        </w:drawing>
      </w:r>
    </w:p>
    <w:p w14:paraId="1C4AADF7">
      <w:pPr>
        <w:spacing w:before="80" w:after="0"/>
        <w:jc w:val="left"/>
        <w:rPr>
          <w:rFonts w:hint="default" w:ascii="Times New Roman" w:hAnsi="Times New Roman" w:eastAsia="宋体" w:cs="Times New Roman"/>
          <w:sz w:val="21"/>
          <w:szCs w:val="21"/>
          <w:lang w:eastAsia="zh-CN"/>
        </w:rPr>
      </w:pPr>
      <w:r>
        <w:rPr>
          <w:rFonts w:hint="default" w:ascii="Times New Roman" w:hAnsi="Times New Roman" w:eastAsia="宋体" w:cs="Times New Roman"/>
          <w:sz w:val="24"/>
          <w:szCs w:val="24"/>
        </w:rPr>
        <w:t>Spearman correlation analysis was performed between six GT-associated core species and six false discovery rate-significant MetaCyc pathways in patients with pulmonary nodules from the GT and NGT groups. Colors represent Spearman correlation coefficients  with red indicating positive correlations and blue indicating negative correlations. Asterisks indicate statistical significance ( *</w:t>
      </w:r>
      <w:r>
        <w:rPr>
          <w:rStyle w:val="134"/>
          <w:rFonts w:hint="default" w:ascii="Times New Roman" w:hAnsi="Times New Roman" w:eastAsia="宋体" w:cs="Times New Roman"/>
          <w:sz w:val="24"/>
          <w:szCs w:val="24"/>
        </w:rPr>
        <w:t>P</w:t>
      </w:r>
      <w:r>
        <w:rPr>
          <w:rFonts w:hint="default" w:ascii="Times New Roman" w:hAnsi="Times New Roman" w:eastAsia="宋体" w:cs="Times New Roman"/>
          <w:sz w:val="24"/>
          <w:szCs w:val="24"/>
        </w:rPr>
        <w:t xml:space="preserve"> &lt; 0.05, **</w:t>
      </w:r>
      <w:r>
        <w:rPr>
          <w:rStyle w:val="134"/>
          <w:rFonts w:hint="default" w:ascii="Times New Roman" w:hAnsi="Times New Roman" w:eastAsia="宋体" w:cs="Times New Roman"/>
          <w:sz w:val="24"/>
          <w:szCs w:val="24"/>
        </w:rPr>
        <w:t>P</w:t>
      </w:r>
      <w:r>
        <w:rPr>
          <w:rFonts w:hint="default" w:ascii="Times New Roman" w:hAnsi="Times New Roman" w:eastAsia="宋体" w:cs="Times New Roman"/>
          <w:sz w:val="24"/>
          <w:szCs w:val="24"/>
        </w:rPr>
        <w:t xml:space="preserve"> &lt; 0.01, ***</w:t>
      </w:r>
      <w:r>
        <w:rPr>
          <w:rStyle w:val="134"/>
          <w:rFonts w:hint="default" w:ascii="Times New Roman" w:hAnsi="Times New Roman" w:eastAsia="宋体" w:cs="Times New Roman"/>
          <w:sz w:val="24"/>
          <w:szCs w:val="24"/>
        </w:rPr>
        <w:t>P</w:t>
      </w:r>
      <w:r>
        <w:rPr>
          <w:rFonts w:hint="default" w:ascii="Times New Roman" w:hAnsi="Times New Roman" w:eastAsia="宋体" w:cs="Times New Roman"/>
          <w:sz w:val="24"/>
          <w:szCs w:val="24"/>
        </w:rPr>
        <w:t xml:space="preserve"> &lt; 0.001). This analysis was exploratory and was used to assess co-variation between microbial taxonomic features and functional pathway abundances.</w:t>
      </w:r>
    </w:p>
    <w:p w14:paraId="1533114E">
      <w:pPr>
        <w:keepNext/>
        <w:pageBreakBefore/>
        <w:spacing w:after="120"/>
        <w:rPr>
          <w:rFonts w:hint="eastAsia" w:ascii="Arial" w:hAnsi="Arial"/>
          <w:sz w:val="21"/>
        </w:rPr>
      </w:pPr>
      <w:r>
        <w:rPr>
          <w:rFonts w:ascii="Arial" w:hAnsi="Arial"/>
          <w:sz w:val="21"/>
        </w:rPr>
        <w:t>Supplementary Figure 2. Genus-level assessment of metagenomic core taxa in the 16S cohort.</w:t>
      </w:r>
    </w:p>
    <w:p w14:paraId="2C7F584D">
      <w:pPr>
        <w:spacing w:before="0" w:after="0"/>
        <w:jc w:val="center"/>
      </w:pPr>
    </w:p>
    <w:p w14:paraId="46AEA13A">
      <w:pPr>
        <w:spacing w:before="0" w:after="0"/>
        <w:jc w:val="center"/>
      </w:pPr>
    </w:p>
    <w:p w14:paraId="40AD85CB">
      <w:pPr>
        <w:spacing w:before="0" w:after="0"/>
        <w:jc w:val="center"/>
      </w:pPr>
      <w:r>
        <w:drawing>
          <wp:inline distT="0" distB="0" distL="114300" distR="114300">
            <wp:extent cx="5806440" cy="455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rcRect t="5906"/>
                    <a:stretch>
                      <a:fillRect/>
                    </a:stretch>
                  </pic:blipFill>
                  <pic:spPr>
                    <a:xfrm>
                      <a:off x="0" y="0"/>
                      <a:ext cx="5806440" cy="4552950"/>
                    </a:xfrm>
                    <a:prstGeom prst="rect">
                      <a:avLst/>
                    </a:prstGeom>
                  </pic:spPr>
                </pic:pic>
              </a:graphicData>
            </a:graphic>
          </wp:inline>
        </w:drawing>
      </w:r>
    </w:p>
    <w:sectPr>
      <w:pgSz w:w="12240" w:h="15840"/>
      <w:pgMar w:top="893" w:right="893" w:bottom="893" w:left="89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AD998F5-4CD9-4388-8C4E-899B93753861}"/>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仓耳舒圆体 W03"/>
    <w:panose1 w:val="00000000000000000000"/>
    <w:charset w:val="80"/>
    <w:family w:val="roman"/>
    <w:pitch w:val="default"/>
    <w:sig w:usb0="00000000" w:usb1="00000000" w:usb2="00000010" w:usb3="00000000" w:csb0="00020000" w:csb1="00000000"/>
  </w:font>
  <w:font w:name="仓耳舒圆体 W03">
    <w:panose1 w:val="02020400000000000000"/>
    <w:charset w:val="80"/>
    <w:family w:val="auto"/>
    <w:pitch w:val="default"/>
    <w:sig w:usb0="80000023" w:usb1="08C10458" w:usb2="00000012" w:usb3="00000000" w:csb0="00020001" w:csb1="00000000"/>
  </w:font>
  <w:font w:name="Cambria">
    <w:panose1 w:val="02040503050406030204"/>
    <w:charset w:val="00"/>
    <w:family w:val="auto"/>
    <w:pitch w:val="default"/>
    <w:sig w:usb0="E00006FF" w:usb1="420024FF" w:usb2="02000000" w:usb3="00000000" w:csb0="2000019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embedTrueTypeFonts/>
  <w:saveSubset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5B1372E"/>
    <w:rsid w:val="095C1B0D"/>
    <w:rsid w:val="0E1B1157"/>
    <w:rsid w:val="17AA3FEE"/>
    <w:rsid w:val="283A32F8"/>
    <w:rsid w:val="2C084344"/>
    <w:rsid w:val="2EBA0ED8"/>
    <w:rsid w:val="469A63C3"/>
    <w:rsid w:val="47856C6C"/>
    <w:rsid w:val="4C5F70AB"/>
    <w:rsid w:val="52AD1B20"/>
    <w:rsid w:val="5C7A64CB"/>
    <w:rsid w:val="6FC644E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0" w:line="276" w:lineRule="auto"/>
    </w:pPr>
    <w:rPr>
      <w:rFonts w:ascii="Arial" w:hAnsi="Arial" w:eastAsia="Arial" w:cstheme="minorBidi"/>
      <w:sz w:val="18"/>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264</Words>
  <Characters>1547</Characters>
  <Lines>0</Lines>
  <Paragraphs>0</Paragraphs>
  <TotalTime>13</TotalTime>
  <ScaleCrop>false</ScaleCrop>
  <LinksUpToDate>false</LinksUpToDate>
  <CharactersWithSpaces>1751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nelo</dc:creator>
  <dc:description>generated by python-docx</dc:description>
  <cp:lastModifiedBy>nelo</cp:lastModifiedBy>
  <dcterms:modified xsi:type="dcterms:W3CDTF">2026-08-25T03:22:35Z</dcterms:modified>
  <dc:subject>English translation of supplementary tables and figure</dc:subject>
  <dc:title>Supplementary Tables and Figure - English Translation</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eyJoZGlkIjoiMjhmOWJlYjIyYmE1MmViM2Y5YzJhMzE2NTBlMWYxNzMiLCJ1c2VySWQiOiI0NTMzNTU4NzkifQ==</vt:lpwstr>
  </property>
  <property fmtid="{D5CDD505-2E9C-101B-9397-08002B2CF9AE}" pid="3" name="KSOProductBuildVer">
    <vt:lpwstr>2052-12.1.0.28043</vt:lpwstr>
  </property>
  <property fmtid="{D5CDD505-2E9C-101B-9397-08002B2CF9AE}" pid="4" name="ICV">
    <vt:lpwstr>D83F9C09E3A8428489A292F09B2B456D_12</vt:lpwstr>
  </property>
</Properties>
</file>