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28B872" w14:textId="04AEC344" w:rsidR="003B1DC5" w:rsidRPr="00EE6AB7" w:rsidRDefault="00EE6AB7" w:rsidP="00EE6AB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E6AB7">
        <w:rPr>
          <w:rFonts w:ascii="Times New Roman" w:hAnsi="Times New Roman" w:cs="Times New Roman"/>
          <w:b/>
          <w:bCs/>
          <w:sz w:val="32"/>
          <w:szCs w:val="32"/>
        </w:rPr>
        <w:t>Table S</w:t>
      </w:r>
      <w:r w:rsidR="00F17AC1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EE6AB7">
        <w:rPr>
          <w:rFonts w:ascii="Times New Roman" w:hAnsi="Times New Roman" w:cs="Times New Roman"/>
          <w:b/>
          <w:bCs/>
          <w:sz w:val="32"/>
          <w:szCs w:val="32"/>
        </w:rPr>
        <w:t>. Subgroup comparisons of differentially abundant genera</w:t>
      </w:r>
    </w:p>
    <w:p w14:paraId="19273077" w14:textId="77777777" w:rsidR="00EE6AB7" w:rsidRPr="00EE6AB7" w:rsidRDefault="00EE6AB7">
      <w:pPr>
        <w:rPr>
          <w:rFonts w:ascii="Times New Roman" w:hAnsi="Times New Roman" w:cs="Times New Roman"/>
          <w:szCs w:val="21"/>
        </w:rPr>
      </w:pPr>
    </w:p>
    <w:p w14:paraId="35619623" w14:textId="4E4E716A" w:rsidR="00EE6AB7" w:rsidRPr="00EE6AB7" w:rsidRDefault="00EE6AB7" w:rsidP="00EE6AB7">
      <w:pPr>
        <w:widowControl/>
        <w:spacing w:before="100" w:beforeAutospacing="1" w:after="100" w:afterAutospacing="1"/>
        <w:jc w:val="left"/>
        <w:rPr>
          <w:rFonts w:ascii="Times New Roman" w:eastAsia="SimSun" w:hAnsi="Times New Roman" w:cs="Times New Roman"/>
          <w:kern w:val="0"/>
          <w:szCs w:val="21"/>
        </w:rPr>
      </w:pPr>
      <w:r w:rsidRPr="00EE6AB7">
        <w:rPr>
          <w:rFonts w:ascii="Times New Roman" w:eastAsia="SimSun" w:hAnsi="Times New Roman" w:cs="Times New Roman"/>
          <w:b/>
          <w:bCs/>
          <w:kern w:val="0"/>
          <w:szCs w:val="21"/>
        </w:rPr>
        <w:t>Table S</w:t>
      </w:r>
      <w:r w:rsidR="00F17AC1">
        <w:rPr>
          <w:rFonts w:ascii="Times New Roman" w:eastAsia="SimSun" w:hAnsi="Times New Roman" w:cs="Times New Roman"/>
          <w:b/>
          <w:bCs/>
          <w:kern w:val="0"/>
          <w:szCs w:val="21"/>
        </w:rPr>
        <w:t>6</w:t>
      </w:r>
      <w:r w:rsidRPr="00EE6AB7">
        <w:rPr>
          <w:rFonts w:ascii="Times New Roman" w:eastAsia="SimSun" w:hAnsi="Times New Roman" w:cs="Times New Roman"/>
          <w:b/>
          <w:bCs/>
          <w:kern w:val="0"/>
          <w:szCs w:val="21"/>
        </w:rPr>
        <w:t>. Subgroup comparisons of differentially abundant genera</w:t>
      </w:r>
    </w:p>
    <w:p w14:paraId="7BC99846" w14:textId="6E3978B2" w:rsidR="00EE6AB7" w:rsidRPr="00EE6AB7" w:rsidRDefault="00EE6AB7" w:rsidP="00EE6AB7">
      <w:pPr>
        <w:widowControl/>
        <w:spacing w:before="100" w:beforeAutospacing="1" w:after="100" w:afterAutospacing="1"/>
        <w:jc w:val="left"/>
        <w:rPr>
          <w:rFonts w:ascii="Times New Roman" w:eastAsia="SimSun" w:hAnsi="Times New Roman" w:cs="Times New Roman"/>
          <w:kern w:val="0"/>
          <w:szCs w:val="21"/>
        </w:rPr>
      </w:pPr>
      <w:r w:rsidRPr="00EE6AB7">
        <w:rPr>
          <w:rFonts w:ascii="Times New Roman" w:eastAsia="SimSun" w:hAnsi="Times New Roman" w:cs="Times New Roman"/>
          <w:b/>
          <w:bCs/>
          <w:kern w:val="0"/>
          <w:szCs w:val="21"/>
        </w:rPr>
        <w:t>Table S</w:t>
      </w:r>
      <w:r w:rsidR="00F17AC1">
        <w:rPr>
          <w:rFonts w:ascii="Times New Roman" w:eastAsia="SimSun" w:hAnsi="Times New Roman" w:cs="Times New Roman"/>
          <w:b/>
          <w:bCs/>
          <w:kern w:val="0"/>
          <w:szCs w:val="21"/>
        </w:rPr>
        <w:t>6</w:t>
      </w:r>
      <w:r w:rsidRPr="00EE6AB7">
        <w:rPr>
          <w:rFonts w:ascii="Times New Roman" w:eastAsia="SimSun" w:hAnsi="Times New Roman" w:cs="Times New Roman"/>
          <w:b/>
          <w:bCs/>
          <w:kern w:val="0"/>
          <w:szCs w:val="21"/>
        </w:rPr>
        <w:t>A. ERA versus non-ERA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38"/>
        <w:gridCol w:w="4190"/>
        <w:gridCol w:w="4190"/>
        <w:gridCol w:w="1520"/>
        <w:gridCol w:w="1110"/>
      </w:tblGrid>
      <w:tr w:rsidR="00EE6AB7" w:rsidRPr="00EE6AB7" w14:paraId="0566873E" w14:textId="77777777" w:rsidTr="00F63A91">
        <w:tc>
          <w:tcPr>
            <w:tcW w:w="1032" w:type="pct"/>
            <w:hideMark/>
          </w:tcPr>
          <w:p w14:paraId="7FE3B448" w14:textId="77777777" w:rsidR="00EE6AB7" w:rsidRPr="00EE6AB7" w:rsidRDefault="00EE6AB7" w:rsidP="00EE6AB7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Genus</w:t>
            </w:r>
          </w:p>
        </w:tc>
        <w:tc>
          <w:tcPr>
            <w:tcW w:w="1471" w:type="pct"/>
            <w:hideMark/>
          </w:tcPr>
          <w:p w14:paraId="5D881BED" w14:textId="77777777" w:rsidR="00EE6AB7" w:rsidRPr="00EE6AB7" w:rsidRDefault="00EE6AB7" w:rsidP="00EE6AB7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ERA (n=17)</w:t>
            </w:r>
          </w:p>
        </w:tc>
        <w:tc>
          <w:tcPr>
            <w:tcW w:w="1471" w:type="pct"/>
            <w:hideMark/>
          </w:tcPr>
          <w:p w14:paraId="49A430FC" w14:textId="77777777" w:rsidR="00EE6AB7" w:rsidRPr="00EE6AB7" w:rsidRDefault="00EE6AB7" w:rsidP="00EE6AB7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non-ERA (n=32)</w:t>
            </w:r>
          </w:p>
        </w:tc>
        <w:tc>
          <w:tcPr>
            <w:tcW w:w="534" w:type="pct"/>
            <w:hideMark/>
          </w:tcPr>
          <w:p w14:paraId="3AF7FDE0" w14:textId="77777777" w:rsidR="00EE6AB7" w:rsidRPr="00EE6AB7" w:rsidRDefault="00EE6AB7" w:rsidP="00EE6AB7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Effect size</w:t>
            </w:r>
          </w:p>
        </w:tc>
        <w:tc>
          <w:tcPr>
            <w:tcW w:w="390" w:type="pct"/>
            <w:hideMark/>
          </w:tcPr>
          <w:p w14:paraId="56D35B68" w14:textId="77777777" w:rsidR="00EE6AB7" w:rsidRPr="00EE6AB7" w:rsidRDefault="00EE6AB7" w:rsidP="00EE6AB7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b/>
                <w:bCs/>
                <w:i/>
                <w:iCs/>
                <w:kern w:val="0"/>
                <w:szCs w:val="21"/>
              </w:rPr>
              <w:t>P</w:t>
            </w:r>
            <w:r w:rsidRPr="00EE6AB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 xml:space="preserve"> value</w:t>
            </w:r>
          </w:p>
        </w:tc>
      </w:tr>
      <w:tr w:rsidR="00EE6AB7" w:rsidRPr="00EE6AB7" w14:paraId="40A3E789" w14:textId="77777777" w:rsidTr="00F63A91">
        <w:tc>
          <w:tcPr>
            <w:tcW w:w="1032" w:type="pct"/>
            <w:hideMark/>
          </w:tcPr>
          <w:p w14:paraId="495EFC90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Escherichia_Shigella</w:t>
            </w:r>
          </w:p>
        </w:tc>
        <w:tc>
          <w:tcPr>
            <w:tcW w:w="1471" w:type="pct"/>
            <w:hideMark/>
          </w:tcPr>
          <w:p w14:paraId="5C0BEC23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7.80×10⁶ (1.79×10⁶–4.96×10⁷)</w:t>
            </w:r>
          </w:p>
        </w:tc>
        <w:tc>
          <w:tcPr>
            <w:tcW w:w="1471" w:type="pct"/>
            <w:hideMark/>
          </w:tcPr>
          <w:p w14:paraId="506EF406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1.12×10⁷ (2.09×10⁶–3.94×10⁷)</w:t>
            </w:r>
          </w:p>
        </w:tc>
        <w:tc>
          <w:tcPr>
            <w:tcW w:w="534" w:type="pct"/>
            <w:hideMark/>
          </w:tcPr>
          <w:p w14:paraId="4B9466F1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−0.367</w:t>
            </w:r>
          </w:p>
        </w:tc>
        <w:tc>
          <w:tcPr>
            <w:tcW w:w="390" w:type="pct"/>
            <w:hideMark/>
          </w:tcPr>
          <w:p w14:paraId="173E0073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0.9559</w:t>
            </w:r>
          </w:p>
        </w:tc>
      </w:tr>
      <w:tr w:rsidR="00EE6AB7" w:rsidRPr="00EE6AB7" w14:paraId="483E8617" w14:textId="77777777" w:rsidTr="00F63A91">
        <w:tc>
          <w:tcPr>
            <w:tcW w:w="1032" w:type="pct"/>
            <w:hideMark/>
          </w:tcPr>
          <w:p w14:paraId="6AF64F9A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Flavonifractor</w:t>
            </w:r>
          </w:p>
        </w:tc>
        <w:tc>
          <w:tcPr>
            <w:tcW w:w="1471" w:type="pct"/>
            <w:hideMark/>
          </w:tcPr>
          <w:p w14:paraId="0658C92D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4.64×10⁵ (7.85×10⁴–3.60×10⁶)</w:t>
            </w:r>
          </w:p>
        </w:tc>
        <w:tc>
          <w:tcPr>
            <w:tcW w:w="1471" w:type="pct"/>
            <w:hideMark/>
          </w:tcPr>
          <w:p w14:paraId="172A6B23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1.55×10⁶ (1.08×10⁵–3.86×10⁶)</w:t>
            </w:r>
          </w:p>
        </w:tc>
        <w:tc>
          <w:tcPr>
            <w:tcW w:w="534" w:type="pct"/>
            <w:hideMark/>
          </w:tcPr>
          <w:p w14:paraId="515CE280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−1.436</w:t>
            </w:r>
          </w:p>
        </w:tc>
        <w:tc>
          <w:tcPr>
            <w:tcW w:w="390" w:type="pct"/>
            <w:hideMark/>
          </w:tcPr>
          <w:p w14:paraId="736A1898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0.9947</w:t>
            </w:r>
          </w:p>
        </w:tc>
      </w:tr>
      <w:tr w:rsidR="00EE6AB7" w:rsidRPr="00EE6AB7" w14:paraId="0EC8078B" w14:textId="77777777" w:rsidTr="00F63A91">
        <w:tc>
          <w:tcPr>
            <w:tcW w:w="1032" w:type="pct"/>
            <w:hideMark/>
          </w:tcPr>
          <w:p w14:paraId="21AAF866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Methyloversatilis</w:t>
            </w:r>
          </w:p>
        </w:tc>
        <w:tc>
          <w:tcPr>
            <w:tcW w:w="1471" w:type="pct"/>
            <w:hideMark/>
          </w:tcPr>
          <w:p w14:paraId="370824F1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0 (0–2.28×10⁴)</w:t>
            </w:r>
          </w:p>
        </w:tc>
        <w:tc>
          <w:tcPr>
            <w:tcW w:w="1471" w:type="pct"/>
            <w:hideMark/>
          </w:tcPr>
          <w:p w14:paraId="4E7DFAC1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0 (0–8.93×10⁴)</w:t>
            </w:r>
          </w:p>
        </w:tc>
        <w:tc>
          <w:tcPr>
            <w:tcW w:w="534" w:type="pct"/>
            <w:hideMark/>
          </w:tcPr>
          <w:p w14:paraId="5209A9B6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−3.078</w:t>
            </w:r>
          </w:p>
        </w:tc>
        <w:tc>
          <w:tcPr>
            <w:tcW w:w="390" w:type="pct"/>
            <w:hideMark/>
          </w:tcPr>
          <w:p w14:paraId="57C07EA9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0.9653</w:t>
            </w:r>
          </w:p>
        </w:tc>
      </w:tr>
    </w:tbl>
    <w:p w14:paraId="0010967A" w14:textId="77777777" w:rsidR="00EE6AB7" w:rsidRPr="00EE6AB7" w:rsidRDefault="00EE6AB7">
      <w:pPr>
        <w:rPr>
          <w:rFonts w:ascii="Times New Roman" w:hAnsi="Times New Roman" w:cs="Times New Roman"/>
          <w:szCs w:val="21"/>
        </w:rPr>
      </w:pPr>
    </w:p>
    <w:p w14:paraId="7B92F956" w14:textId="5D8BE252" w:rsidR="00EE6AB7" w:rsidRPr="00EE6AB7" w:rsidRDefault="00EE6AB7" w:rsidP="00EE6AB7">
      <w:pPr>
        <w:widowControl/>
        <w:spacing w:before="100" w:beforeAutospacing="1" w:after="100" w:afterAutospacing="1"/>
        <w:jc w:val="left"/>
        <w:rPr>
          <w:rFonts w:ascii="Times New Roman" w:eastAsia="SimSun" w:hAnsi="Times New Roman" w:cs="Times New Roman"/>
          <w:kern w:val="0"/>
          <w:szCs w:val="21"/>
        </w:rPr>
      </w:pPr>
      <w:r w:rsidRPr="00EE6AB7">
        <w:rPr>
          <w:rFonts w:ascii="Times New Roman" w:eastAsia="SimSun" w:hAnsi="Times New Roman" w:cs="Times New Roman"/>
          <w:b/>
          <w:bCs/>
          <w:kern w:val="0"/>
          <w:szCs w:val="21"/>
        </w:rPr>
        <w:t>Table S</w:t>
      </w:r>
      <w:r w:rsidR="00F17AC1">
        <w:rPr>
          <w:rFonts w:ascii="Times New Roman" w:eastAsia="SimSun" w:hAnsi="Times New Roman" w:cs="Times New Roman"/>
          <w:b/>
          <w:bCs/>
          <w:kern w:val="0"/>
          <w:szCs w:val="21"/>
        </w:rPr>
        <w:t>6</w:t>
      </w:r>
      <w:bookmarkStart w:id="0" w:name="_GoBack"/>
      <w:bookmarkEnd w:id="0"/>
      <w:r w:rsidRPr="00EE6AB7">
        <w:rPr>
          <w:rFonts w:ascii="Times New Roman" w:eastAsia="SimSun" w:hAnsi="Times New Roman" w:cs="Times New Roman"/>
          <w:b/>
          <w:bCs/>
          <w:kern w:val="0"/>
          <w:szCs w:val="21"/>
        </w:rPr>
        <w:t>B. sJIA versus non-sJIA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38"/>
        <w:gridCol w:w="4190"/>
        <w:gridCol w:w="4190"/>
        <w:gridCol w:w="1520"/>
        <w:gridCol w:w="1110"/>
      </w:tblGrid>
      <w:tr w:rsidR="00EE6AB7" w:rsidRPr="00EE6AB7" w14:paraId="24C128E1" w14:textId="77777777" w:rsidTr="008A492B">
        <w:tc>
          <w:tcPr>
            <w:tcW w:w="1053" w:type="pct"/>
            <w:hideMark/>
          </w:tcPr>
          <w:p w14:paraId="50745991" w14:textId="77777777" w:rsidR="00EE6AB7" w:rsidRPr="00EE6AB7" w:rsidRDefault="00EE6AB7" w:rsidP="00EE6AB7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Genus</w:t>
            </w:r>
          </w:p>
        </w:tc>
        <w:tc>
          <w:tcPr>
            <w:tcW w:w="1502" w:type="pct"/>
            <w:hideMark/>
          </w:tcPr>
          <w:p w14:paraId="1A9CFD4C" w14:textId="77777777" w:rsidR="00EE6AB7" w:rsidRPr="00EE6AB7" w:rsidRDefault="00EE6AB7" w:rsidP="00EE6AB7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sJIA (n=17)</w:t>
            </w:r>
          </w:p>
        </w:tc>
        <w:tc>
          <w:tcPr>
            <w:tcW w:w="1502" w:type="pct"/>
            <w:hideMark/>
          </w:tcPr>
          <w:p w14:paraId="13AE1C7C" w14:textId="77777777" w:rsidR="00EE6AB7" w:rsidRPr="00EE6AB7" w:rsidRDefault="00EE6AB7" w:rsidP="00EE6AB7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non-sJIA (n=32)</w:t>
            </w:r>
          </w:p>
        </w:tc>
        <w:tc>
          <w:tcPr>
            <w:tcW w:w="545" w:type="pct"/>
            <w:hideMark/>
          </w:tcPr>
          <w:p w14:paraId="19878CA7" w14:textId="77777777" w:rsidR="00EE6AB7" w:rsidRPr="00EE6AB7" w:rsidRDefault="00EE6AB7" w:rsidP="00EE6AB7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Effect size</w:t>
            </w:r>
          </w:p>
        </w:tc>
        <w:tc>
          <w:tcPr>
            <w:tcW w:w="398" w:type="pct"/>
            <w:hideMark/>
          </w:tcPr>
          <w:p w14:paraId="002BA0B6" w14:textId="77777777" w:rsidR="00EE6AB7" w:rsidRPr="00EE6AB7" w:rsidRDefault="00EE6AB7" w:rsidP="00EE6AB7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b/>
                <w:bCs/>
                <w:i/>
                <w:iCs/>
                <w:kern w:val="0"/>
                <w:szCs w:val="21"/>
              </w:rPr>
              <w:t>P</w:t>
            </w:r>
            <w:r w:rsidRPr="00EE6AB7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 xml:space="preserve"> value</w:t>
            </w:r>
          </w:p>
        </w:tc>
      </w:tr>
      <w:tr w:rsidR="00EE6AB7" w:rsidRPr="00EE6AB7" w14:paraId="209CAE73" w14:textId="77777777" w:rsidTr="008A492B">
        <w:tc>
          <w:tcPr>
            <w:tcW w:w="1053" w:type="pct"/>
            <w:hideMark/>
          </w:tcPr>
          <w:p w14:paraId="214A1383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Escherichia_Shigella</w:t>
            </w:r>
          </w:p>
        </w:tc>
        <w:tc>
          <w:tcPr>
            <w:tcW w:w="1502" w:type="pct"/>
            <w:hideMark/>
          </w:tcPr>
          <w:p w14:paraId="31DB4D4D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2.66×10⁷ (2.57×10⁶–7.64×10⁷)</w:t>
            </w:r>
          </w:p>
        </w:tc>
        <w:tc>
          <w:tcPr>
            <w:tcW w:w="1502" w:type="pct"/>
            <w:hideMark/>
          </w:tcPr>
          <w:p w14:paraId="45314C1A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7.00×10⁶ (1.17×10⁶–1.89×10⁷)</w:t>
            </w:r>
          </w:p>
        </w:tc>
        <w:tc>
          <w:tcPr>
            <w:tcW w:w="545" w:type="pct"/>
            <w:hideMark/>
          </w:tcPr>
          <w:p w14:paraId="0F416614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1.861</w:t>
            </w:r>
          </w:p>
        </w:tc>
        <w:tc>
          <w:tcPr>
            <w:tcW w:w="398" w:type="pct"/>
            <w:hideMark/>
          </w:tcPr>
          <w:p w14:paraId="5AF5BE91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0.8492</w:t>
            </w:r>
          </w:p>
        </w:tc>
      </w:tr>
      <w:tr w:rsidR="00EE6AB7" w:rsidRPr="00EE6AB7" w14:paraId="7484D46F" w14:textId="77777777" w:rsidTr="008A492B">
        <w:tc>
          <w:tcPr>
            <w:tcW w:w="1053" w:type="pct"/>
            <w:hideMark/>
          </w:tcPr>
          <w:p w14:paraId="35DD293A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Flavonifractor</w:t>
            </w:r>
          </w:p>
        </w:tc>
        <w:tc>
          <w:tcPr>
            <w:tcW w:w="1502" w:type="pct"/>
            <w:hideMark/>
          </w:tcPr>
          <w:p w14:paraId="0083596F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1.11×10⁶ (2.28×10⁵–4.91×10⁶)</w:t>
            </w:r>
          </w:p>
        </w:tc>
        <w:tc>
          <w:tcPr>
            <w:tcW w:w="1502" w:type="pct"/>
            <w:hideMark/>
          </w:tcPr>
          <w:p w14:paraId="4A0AB61D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1.00×10⁶ (5.89×10⁴–3.27×10⁶)</w:t>
            </w:r>
          </w:p>
        </w:tc>
        <w:tc>
          <w:tcPr>
            <w:tcW w:w="545" w:type="pct"/>
            <w:hideMark/>
          </w:tcPr>
          <w:p w14:paraId="17F9589F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3.690</w:t>
            </w:r>
          </w:p>
        </w:tc>
        <w:tc>
          <w:tcPr>
            <w:tcW w:w="398" w:type="pct"/>
            <w:hideMark/>
          </w:tcPr>
          <w:p w14:paraId="53C981C9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0.9424</w:t>
            </w:r>
          </w:p>
        </w:tc>
      </w:tr>
      <w:tr w:rsidR="00EE6AB7" w:rsidRPr="00EE6AB7" w14:paraId="49F13F2A" w14:textId="77777777" w:rsidTr="008A492B">
        <w:tc>
          <w:tcPr>
            <w:tcW w:w="1053" w:type="pct"/>
            <w:hideMark/>
          </w:tcPr>
          <w:p w14:paraId="26D68D0E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i/>
                <w:iCs/>
                <w:kern w:val="0"/>
                <w:szCs w:val="21"/>
              </w:rPr>
              <w:t>Methyloversatilis</w:t>
            </w:r>
          </w:p>
        </w:tc>
        <w:tc>
          <w:tcPr>
            <w:tcW w:w="1502" w:type="pct"/>
            <w:hideMark/>
          </w:tcPr>
          <w:p w14:paraId="0FEE06C4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0 (0–8.89×10⁴)</w:t>
            </w:r>
          </w:p>
        </w:tc>
        <w:tc>
          <w:tcPr>
            <w:tcW w:w="1502" w:type="pct"/>
            <w:hideMark/>
          </w:tcPr>
          <w:p w14:paraId="398634EA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0 (0–2.79×10⁴)</w:t>
            </w:r>
          </w:p>
        </w:tc>
        <w:tc>
          <w:tcPr>
            <w:tcW w:w="545" w:type="pct"/>
            <w:hideMark/>
          </w:tcPr>
          <w:p w14:paraId="6CA8D92F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3.033</w:t>
            </w:r>
          </w:p>
        </w:tc>
        <w:tc>
          <w:tcPr>
            <w:tcW w:w="398" w:type="pct"/>
            <w:hideMark/>
          </w:tcPr>
          <w:p w14:paraId="24A0DAA9" w14:textId="77777777" w:rsidR="00EE6AB7" w:rsidRPr="00EE6AB7" w:rsidRDefault="00EE6AB7" w:rsidP="00EE6AB7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EE6AB7">
              <w:rPr>
                <w:rFonts w:ascii="Times New Roman" w:eastAsia="SimSun" w:hAnsi="Times New Roman" w:cs="Times New Roman"/>
                <w:kern w:val="0"/>
                <w:szCs w:val="21"/>
              </w:rPr>
              <w:t>0.9792</w:t>
            </w:r>
          </w:p>
        </w:tc>
      </w:tr>
    </w:tbl>
    <w:p w14:paraId="62CE4509" w14:textId="018114A8" w:rsidR="00EE6AB7" w:rsidRPr="00EE6AB7" w:rsidRDefault="008A492B" w:rsidP="008A492B">
      <w:pPr>
        <w:widowControl/>
        <w:spacing w:before="100" w:beforeAutospacing="1" w:after="100" w:afterAutospacing="1"/>
        <w:rPr>
          <w:rFonts w:ascii="Times New Roman" w:hAnsi="Times New Roman" w:cs="Times New Roman"/>
          <w:szCs w:val="21"/>
        </w:rPr>
      </w:pPr>
      <w:r w:rsidRPr="008A492B">
        <w:rPr>
          <w:rFonts w:ascii="Times New Roman" w:eastAsia="SimSun" w:hAnsi="Times New Roman" w:cs="Times New Roman"/>
          <w:kern w:val="0"/>
          <w:szCs w:val="21"/>
        </w:rPr>
        <w:t xml:space="preserve">Abundances are expressed as median (interquartile range) in copies/g feces. Effect size was estimated using ALDEx3 with CLR-based linear models (log₂ fold-change). Unlike conventional tests, ALDEx3 derives </w:t>
      </w:r>
      <w:r w:rsidRPr="008A492B">
        <w:rPr>
          <w:rFonts w:ascii="Times New Roman" w:eastAsia="SimSun" w:hAnsi="Times New Roman" w:cs="Times New Roman"/>
          <w:i/>
          <w:iCs/>
          <w:kern w:val="0"/>
          <w:szCs w:val="21"/>
        </w:rPr>
        <w:t>P</w:t>
      </w:r>
      <w:r w:rsidRPr="008A492B">
        <w:rPr>
          <w:rFonts w:ascii="Times New Roman" w:eastAsia="SimSun" w:hAnsi="Times New Roman" w:cs="Times New Roman"/>
          <w:kern w:val="0"/>
          <w:szCs w:val="21"/>
        </w:rPr>
        <w:t xml:space="preserve"> values directly from the posterior distribution of effect sizes across Monte Carlo instances and therefore does not report a traditional test statistic (e.g., W or t). </w:t>
      </w:r>
      <w:r w:rsidRPr="008A492B">
        <w:rPr>
          <w:rFonts w:ascii="Times New Roman" w:eastAsia="SimSun" w:hAnsi="Times New Roman" w:cs="Times New Roman"/>
          <w:i/>
          <w:iCs/>
          <w:kern w:val="0"/>
          <w:szCs w:val="21"/>
        </w:rPr>
        <w:t>P</w:t>
      </w:r>
      <w:r w:rsidRPr="008A492B">
        <w:rPr>
          <w:rFonts w:ascii="Times New Roman" w:eastAsia="SimSun" w:hAnsi="Times New Roman" w:cs="Times New Roman"/>
          <w:kern w:val="0"/>
          <w:szCs w:val="21"/>
        </w:rPr>
        <w:t xml:space="preserve"> values were adjusted using the Benjamini–Hochberg method across all genera.</w:t>
      </w:r>
    </w:p>
    <w:sectPr w:rsidR="00EE6AB7" w:rsidRPr="00EE6AB7" w:rsidSect="00EE6AB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3359C9" w14:textId="77777777" w:rsidR="002345F2" w:rsidRDefault="002345F2" w:rsidP="00F63A91">
      <w:r>
        <w:separator/>
      </w:r>
    </w:p>
  </w:endnote>
  <w:endnote w:type="continuationSeparator" w:id="0">
    <w:p w14:paraId="1266C7B7" w14:textId="77777777" w:rsidR="002345F2" w:rsidRDefault="002345F2" w:rsidP="00F63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534B27" w14:textId="77777777" w:rsidR="002345F2" w:rsidRDefault="002345F2" w:rsidP="00F63A91">
      <w:r>
        <w:separator/>
      </w:r>
    </w:p>
  </w:footnote>
  <w:footnote w:type="continuationSeparator" w:id="0">
    <w:p w14:paraId="76E0C43A" w14:textId="77777777" w:rsidR="002345F2" w:rsidRDefault="002345F2" w:rsidP="00F63A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F896CA34-5938-486F-8FCC-FF4BA43FDCDC}"/>
    <w:docVar w:name="KY_MEDREF_VERSION" w:val="3"/>
  </w:docVars>
  <w:rsids>
    <w:rsidRoot w:val="00EE6AB7"/>
    <w:rsid w:val="000F3144"/>
    <w:rsid w:val="002345F2"/>
    <w:rsid w:val="002D2563"/>
    <w:rsid w:val="002D2DA2"/>
    <w:rsid w:val="002F25BA"/>
    <w:rsid w:val="003B1DC5"/>
    <w:rsid w:val="00695569"/>
    <w:rsid w:val="00823210"/>
    <w:rsid w:val="008A492B"/>
    <w:rsid w:val="00EE6AB7"/>
    <w:rsid w:val="00F17AC1"/>
    <w:rsid w:val="00F6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6281B7"/>
  <w15:chartTrackingRefBased/>
  <w15:docId w15:val="{76756AD7-3E63-4E83-A99E-294CCF089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EE6AB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6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6AB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6AB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6AB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6AB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6AB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6AB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6AB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6AB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6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6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6AB7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6AB7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6AB7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6AB7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6AB7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6AB7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EE6AB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6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6AB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6AB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6A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6A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6A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6A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A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6AB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E6AB7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EE6AB7"/>
    <w:rPr>
      <w:b/>
      <w:bCs/>
    </w:rPr>
  </w:style>
  <w:style w:type="character" w:styleId="Emphasis">
    <w:name w:val="Emphasis"/>
    <w:basedOn w:val="DefaultParagraphFont"/>
    <w:uiPriority w:val="20"/>
    <w:qFormat/>
    <w:rsid w:val="00EE6AB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63A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63A9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63A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63A91"/>
    <w:rPr>
      <w:sz w:val="18"/>
      <w:szCs w:val="18"/>
    </w:rPr>
  </w:style>
  <w:style w:type="table" w:styleId="TableGrid">
    <w:name w:val="Table Grid"/>
    <w:basedOn w:val="TableNormal"/>
    <w:uiPriority w:val="39"/>
    <w:rsid w:val="00F63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xubo qian</dc:creator>
  <cp:keywords/>
  <dc:description/>
  <cp:lastModifiedBy>Hernando Sevilla</cp:lastModifiedBy>
  <cp:revision>4</cp:revision>
  <dcterms:created xsi:type="dcterms:W3CDTF">2026-06-19T10:53:00Z</dcterms:created>
  <dcterms:modified xsi:type="dcterms:W3CDTF">2026-09-03T01:52:00Z</dcterms:modified>
</cp:coreProperties>
</file>