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CE347" w14:textId="231E7EA7" w:rsidR="003B1DC5" w:rsidRPr="000E7210" w:rsidRDefault="000E7210" w:rsidP="000E721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E7210">
        <w:rPr>
          <w:rFonts w:ascii="Times New Roman" w:hAnsi="Times New Roman" w:cs="Times New Roman"/>
          <w:b/>
          <w:bCs/>
          <w:sz w:val="32"/>
          <w:szCs w:val="32"/>
        </w:rPr>
        <w:t>Table S</w:t>
      </w:r>
      <w:r w:rsidR="00745BB3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0E7210">
        <w:rPr>
          <w:rFonts w:ascii="Times New Roman" w:hAnsi="Times New Roman" w:cs="Times New Roman"/>
          <w:b/>
          <w:bCs/>
          <w:sz w:val="32"/>
          <w:szCs w:val="32"/>
        </w:rPr>
        <w:t>. Subgroup comparisons of serum butyrate</w:t>
      </w:r>
    </w:p>
    <w:p w14:paraId="03EEE3B2" w14:textId="77777777" w:rsidR="000E7210" w:rsidRPr="000E7210" w:rsidRDefault="000E7210">
      <w:pPr>
        <w:rPr>
          <w:rFonts w:ascii="Times New Roman" w:hAnsi="Times New Roman" w:cs="Times New Roman"/>
          <w:szCs w:val="21"/>
        </w:rPr>
      </w:pPr>
    </w:p>
    <w:p w14:paraId="6D6BA789" w14:textId="2A06555B" w:rsidR="000E7210" w:rsidRPr="000E7210" w:rsidRDefault="000E7210" w:rsidP="000E7210">
      <w:pPr>
        <w:widowControl/>
        <w:spacing w:before="100" w:beforeAutospacing="1" w:after="100" w:afterAutospacing="1"/>
        <w:jc w:val="left"/>
        <w:rPr>
          <w:rFonts w:ascii="Times New Roman" w:eastAsia="SimSun" w:hAnsi="Times New Roman" w:cs="Times New Roman"/>
          <w:kern w:val="0"/>
          <w:szCs w:val="21"/>
        </w:rPr>
      </w:pPr>
      <w:r w:rsidRPr="000E7210">
        <w:rPr>
          <w:rFonts w:ascii="Times New Roman" w:eastAsia="SimSun" w:hAnsi="Times New Roman" w:cs="Times New Roman"/>
          <w:kern w:val="0"/>
          <w:szCs w:val="21"/>
        </w:rPr>
        <w:t>Table S</w:t>
      </w:r>
      <w:r w:rsidR="00745BB3">
        <w:rPr>
          <w:rFonts w:ascii="Times New Roman" w:eastAsia="SimSun" w:hAnsi="Times New Roman" w:cs="Times New Roman"/>
          <w:kern w:val="0"/>
          <w:szCs w:val="21"/>
        </w:rPr>
        <w:t>8</w:t>
      </w:r>
      <w:r w:rsidRPr="000E7210">
        <w:rPr>
          <w:rFonts w:ascii="Times New Roman" w:eastAsia="SimSun" w:hAnsi="Times New Roman" w:cs="Times New Roman"/>
          <w:kern w:val="0"/>
          <w:szCs w:val="21"/>
        </w:rPr>
        <w:t>A. Pairwise subgroup comparisons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51"/>
        <w:gridCol w:w="3855"/>
        <w:gridCol w:w="3855"/>
        <w:gridCol w:w="893"/>
        <w:gridCol w:w="1336"/>
        <w:gridCol w:w="1158"/>
      </w:tblGrid>
      <w:tr w:rsidR="000E7210" w:rsidRPr="000E7210" w14:paraId="0EA7D6CF" w14:textId="77777777" w:rsidTr="000E7210">
        <w:tc>
          <w:tcPr>
            <w:tcW w:w="1022" w:type="pct"/>
            <w:vMerge w:val="restart"/>
            <w:vAlign w:val="center"/>
            <w:hideMark/>
          </w:tcPr>
          <w:p w14:paraId="56071320" w14:textId="05860414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kern w:val="0"/>
                <w:szCs w:val="21"/>
              </w:rPr>
              <w:t>Group</w:t>
            </w:r>
          </w:p>
        </w:tc>
        <w:tc>
          <w:tcPr>
            <w:tcW w:w="2764" w:type="pct"/>
            <w:gridSpan w:val="2"/>
            <w:vAlign w:val="center"/>
            <w:hideMark/>
          </w:tcPr>
          <w:p w14:paraId="04045B97" w14:textId="6636B34A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Median (IQR), ng/mL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363A7012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W</w:t>
            </w:r>
          </w:p>
        </w:tc>
        <w:tc>
          <w:tcPr>
            <w:tcW w:w="479" w:type="pct"/>
            <w:vMerge w:val="restart"/>
            <w:vAlign w:val="center"/>
            <w:hideMark/>
          </w:tcPr>
          <w:p w14:paraId="7AEA2F90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value</w:t>
            </w:r>
          </w:p>
        </w:tc>
        <w:tc>
          <w:tcPr>
            <w:tcW w:w="415" w:type="pct"/>
            <w:vMerge w:val="restart"/>
            <w:vAlign w:val="center"/>
            <w:hideMark/>
          </w:tcPr>
          <w:p w14:paraId="052F9D07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r</w:t>
            </w:r>
          </w:p>
        </w:tc>
      </w:tr>
      <w:tr w:rsidR="000E7210" w:rsidRPr="000E7210" w14:paraId="05C9C96F" w14:textId="77777777" w:rsidTr="000E7210">
        <w:tc>
          <w:tcPr>
            <w:tcW w:w="1022" w:type="pct"/>
            <w:vMerge/>
            <w:vAlign w:val="center"/>
            <w:hideMark/>
          </w:tcPr>
          <w:p w14:paraId="57E87EB1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382" w:type="pct"/>
            <w:vAlign w:val="center"/>
            <w:hideMark/>
          </w:tcPr>
          <w:p w14:paraId="0D512EAF" w14:textId="01573009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ERA/</w:t>
            </w: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sJIA</w:t>
            </w:r>
          </w:p>
        </w:tc>
        <w:tc>
          <w:tcPr>
            <w:tcW w:w="1382" w:type="pct"/>
            <w:vAlign w:val="center"/>
            <w:hideMark/>
          </w:tcPr>
          <w:p w14:paraId="7E78B601" w14:textId="70A12A92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non-ERA</w:t>
            </w: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/</w:t>
            </w: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non-sJIA</w:t>
            </w:r>
          </w:p>
        </w:tc>
        <w:tc>
          <w:tcPr>
            <w:tcW w:w="320" w:type="pct"/>
            <w:vMerge/>
            <w:hideMark/>
          </w:tcPr>
          <w:p w14:paraId="77EB3AAC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479" w:type="pct"/>
            <w:vMerge/>
            <w:hideMark/>
          </w:tcPr>
          <w:p w14:paraId="1636D17F" w14:textId="77777777" w:rsidR="000E7210" w:rsidRPr="000E7210" w:rsidRDefault="000E7210" w:rsidP="000E721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415" w:type="pct"/>
            <w:vMerge/>
            <w:hideMark/>
          </w:tcPr>
          <w:p w14:paraId="500FB619" w14:textId="77777777" w:rsidR="000E7210" w:rsidRPr="000E7210" w:rsidRDefault="000E7210" w:rsidP="000E721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0E7210" w:rsidRPr="000E7210" w14:paraId="410EDAC6" w14:textId="77777777" w:rsidTr="000E7210">
        <w:tc>
          <w:tcPr>
            <w:tcW w:w="1022" w:type="pct"/>
            <w:vAlign w:val="center"/>
            <w:hideMark/>
          </w:tcPr>
          <w:p w14:paraId="29414D77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ERA vs non-ERA</w:t>
            </w:r>
          </w:p>
        </w:tc>
        <w:tc>
          <w:tcPr>
            <w:tcW w:w="1382" w:type="pct"/>
            <w:vAlign w:val="center"/>
            <w:hideMark/>
          </w:tcPr>
          <w:p w14:paraId="4945932A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1633.5 (1162.2–1976.1)</w:t>
            </w:r>
          </w:p>
        </w:tc>
        <w:tc>
          <w:tcPr>
            <w:tcW w:w="1382" w:type="pct"/>
            <w:vAlign w:val="center"/>
            <w:hideMark/>
          </w:tcPr>
          <w:p w14:paraId="0D2B904C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1530.9 (1272.1–1781.6)</w:t>
            </w:r>
          </w:p>
        </w:tc>
        <w:tc>
          <w:tcPr>
            <w:tcW w:w="320" w:type="pct"/>
            <w:hideMark/>
          </w:tcPr>
          <w:p w14:paraId="5B4B6583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293</w:t>
            </w:r>
          </w:p>
        </w:tc>
        <w:tc>
          <w:tcPr>
            <w:tcW w:w="479" w:type="pct"/>
            <w:hideMark/>
          </w:tcPr>
          <w:p w14:paraId="76822B60" w14:textId="77777777" w:rsidR="000E7210" w:rsidRPr="000E7210" w:rsidRDefault="000E7210" w:rsidP="000E721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0.6699</w:t>
            </w:r>
          </w:p>
        </w:tc>
        <w:tc>
          <w:tcPr>
            <w:tcW w:w="415" w:type="pct"/>
            <w:hideMark/>
          </w:tcPr>
          <w:p w14:paraId="7AC70B71" w14:textId="77777777" w:rsidR="000E7210" w:rsidRPr="000E7210" w:rsidRDefault="000E7210" w:rsidP="007B171D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0.061</w:t>
            </w:r>
          </w:p>
        </w:tc>
      </w:tr>
      <w:tr w:rsidR="000E7210" w:rsidRPr="000E7210" w14:paraId="24E6E6D4" w14:textId="77777777" w:rsidTr="000E7210">
        <w:tc>
          <w:tcPr>
            <w:tcW w:w="1022" w:type="pct"/>
            <w:vAlign w:val="center"/>
            <w:hideMark/>
          </w:tcPr>
          <w:p w14:paraId="71EBA6FB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sJIA vs non-sJIA</w:t>
            </w:r>
          </w:p>
        </w:tc>
        <w:tc>
          <w:tcPr>
            <w:tcW w:w="1382" w:type="pct"/>
            <w:vAlign w:val="center"/>
            <w:hideMark/>
          </w:tcPr>
          <w:p w14:paraId="7871EF34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1521.8 (1323.0–1758.5)</w:t>
            </w:r>
          </w:p>
        </w:tc>
        <w:tc>
          <w:tcPr>
            <w:tcW w:w="1382" w:type="pct"/>
            <w:vAlign w:val="center"/>
            <w:hideMark/>
          </w:tcPr>
          <w:p w14:paraId="45F2A031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1592.7 (1218.7–1900.1)</w:t>
            </w:r>
          </w:p>
        </w:tc>
        <w:tc>
          <w:tcPr>
            <w:tcW w:w="320" w:type="pct"/>
            <w:hideMark/>
          </w:tcPr>
          <w:p w14:paraId="07F84CD9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242</w:t>
            </w:r>
          </w:p>
        </w:tc>
        <w:tc>
          <w:tcPr>
            <w:tcW w:w="479" w:type="pct"/>
            <w:hideMark/>
          </w:tcPr>
          <w:p w14:paraId="5BA8DA87" w14:textId="77777777" w:rsidR="000E7210" w:rsidRPr="000E7210" w:rsidRDefault="000E7210" w:rsidP="000E721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0.5393</w:t>
            </w:r>
          </w:p>
        </w:tc>
        <w:tc>
          <w:tcPr>
            <w:tcW w:w="415" w:type="pct"/>
            <w:hideMark/>
          </w:tcPr>
          <w:p w14:paraId="77D441A2" w14:textId="77777777" w:rsidR="000E7210" w:rsidRPr="000E7210" w:rsidRDefault="000E7210" w:rsidP="007B171D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0.088</w:t>
            </w:r>
          </w:p>
        </w:tc>
      </w:tr>
    </w:tbl>
    <w:p w14:paraId="493219F9" w14:textId="764F707C" w:rsidR="000E7210" w:rsidRPr="000E7210" w:rsidRDefault="000E7210" w:rsidP="000E7210">
      <w:pPr>
        <w:widowControl/>
        <w:spacing w:before="100" w:beforeAutospacing="1" w:after="100" w:afterAutospacing="1"/>
        <w:jc w:val="left"/>
        <w:rPr>
          <w:rFonts w:ascii="Times New Roman" w:eastAsia="SimSun" w:hAnsi="Times New Roman" w:cs="Times New Roman"/>
          <w:kern w:val="0"/>
          <w:szCs w:val="21"/>
        </w:rPr>
      </w:pPr>
      <w:r w:rsidRPr="000E7210">
        <w:rPr>
          <w:rFonts w:ascii="Times New Roman" w:eastAsia="SimSun" w:hAnsi="Times New Roman" w:cs="Times New Roman"/>
          <w:kern w:val="0"/>
          <w:szCs w:val="21"/>
        </w:rPr>
        <w:t>Table S</w:t>
      </w:r>
      <w:r w:rsidR="00745BB3">
        <w:rPr>
          <w:rFonts w:ascii="Times New Roman" w:eastAsia="SimSun" w:hAnsi="Times New Roman" w:cs="Times New Roman"/>
          <w:kern w:val="0"/>
          <w:szCs w:val="21"/>
        </w:rPr>
        <w:t>8</w:t>
      </w:r>
      <w:bookmarkStart w:id="0" w:name="_GoBack"/>
      <w:bookmarkEnd w:id="0"/>
      <w:r w:rsidRPr="000E7210">
        <w:rPr>
          <w:rFonts w:ascii="Times New Roman" w:eastAsia="SimSun" w:hAnsi="Times New Roman" w:cs="Times New Roman"/>
          <w:kern w:val="0"/>
          <w:szCs w:val="21"/>
        </w:rPr>
        <w:t xml:space="preserve">B. </w:t>
      </w:r>
      <w:r>
        <w:rPr>
          <w:rFonts w:ascii="Times New Roman" w:eastAsia="SimSun" w:hAnsi="Times New Roman" w:cs="Times New Roman"/>
          <w:kern w:val="0"/>
          <w:szCs w:val="21"/>
        </w:rPr>
        <w:t>S</w:t>
      </w:r>
      <w:r w:rsidRPr="000E7210">
        <w:rPr>
          <w:rFonts w:ascii="Times New Roman" w:eastAsia="SimSun" w:hAnsi="Times New Roman" w:cs="Times New Roman"/>
          <w:kern w:val="0"/>
          <w:szCs w:val="21"/>
        </w:rPr>
        <w:t>ubtypes versus controls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68"/>
        <w:gridCol w:w="573"/>
        <w:gridCol w:w="4910"/>
        <w:gridCol w:w="2767"/>
        <w:gridCol w:w="1730"/>
        <w:gridCol w:w="1200"/>
      </w:tblGrid>
      <w:tr w:rsidR="000E7210" w:rsidRPr="000E7210" w14:paraId="623DA1A3" w14:textId="77777777" w:rsidTr="000E7210">
        <w:tc>
          <w:tcPr>
            <w:tcW w:w="958" w:type="pct"/>
            <w:hideMark/>
          </w:tcPr>
          <w:p w14:paraId="221B3FD3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Subtype</w:t>
            </w:r>
          </w:p>
        </w:tc>
        <w:tc>
          <w:tcPr>
            <w:tcW w:w="198" w:type="pct"/>
            <w:hideMark/>
          </w:tcPr>
          <w:p w14:paraId="0A6C3761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n</w:t>
            </w:r>
          </w:p>
        </w:tc>
        <w:tc>
          <w:tcPr>
            <w:tcW w:w="1699" w:type="pct"/>
            <w:hideMark/>
          </w:tcPr>
          <w:p w14:paraId="749540C7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Median (IQR), ng/mL</w:t>
            </w:r>
          </w:p>
        </w:tc>
        <w:tc>
          <w:tcPr>
            <w:tcW w:w="958" w:type="pct"/>
            <w:hideMark/>
          </w:tcPr>
          <w:p w14:paraId="1CE30982" w14:textId="3AE27A63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W</w:t>
            </w:r>
          </w:p>
        </w:tc>
        <w:tc>
          <w:tcPr>
            <w:tcW w:w="599" w:type="pct"/>
            <w:hideMark/>
          </w:tcPr>
          <w:p w14:paraId="4CF07367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P</w:t>
            </w: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value</w:t>
            </w:r>
          </w:p>
        </w:tc>
        <w:tc>
          <w:tcPr>
            <w:tcW w:w="415" w:type="pct"/>
            <w:hideMark/>
          </w:tcPr>
          <w:p w14:paraId="3F881295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r</w:t>
            </w:r>
          </w:p>
        </w:tc>
      </w:tr>
      <w:tr w:rsidR="000E7210" w:rsidRPr="000E7210" w14:paraId="4F275908" w14:textId="77777777" w:rsidTr="000E7210">
        <w:tc>
          <w:tcPr>
            <w:tcW w:w="958" w:type="pct"/>
            <w:hideMark/>
          </w:tcPr>
          <w:p w14:paraId="716EDD4D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ERA</w:t>
            </w:r>
          </w:p>
        </w:tc>
        <w:tc>
          <w:tcPr>
            <w:tcW w:w="198" w:type="pct"/>
            <w:hideMark/>
          </w:tcPr>
          <w:p w14:paraId="452CD32D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17</w:t>
            </w:r>
          </w:p>
        </w:tc>
        <w:tc>
          <w:tcPr>
            <w:tcW w:w="1699" w:type="pct"/>
            <w:hideMark/>
          </w:tcPr>
          <w:p w14:paraId="63AE3718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1633.5 (1162.2–1976.1)</w:t>
            </w:r>
          </w:p>
        </w:tc>
        <w:tc>
          <w:tcPr>
            <w:tcW w:w="958" w:type="pct"/>
            <w:hideMark/>
          </w:tcPr>
          <w:p w14:paraId="2D847414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833</w:t>
            </w:r>
          </w:p>
        </w:tc>
        <w:tc>
          <w:tcPr>
            <w:tcW w:w="599" w:type="pct"/>
            <w:hideMark/>
          </w:tcPr>
          <w:p w14:paraId="4D65ED5F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&lt;0.0001</w:t>
            </w:r>
          </w:p>
        </w:tc>
        <w:tc>
          <w:tcPr>
            <w:tcW w:w="415" w:type="pct"/>
            <w:hideMark/>
          </w:tcPr>
          <w:p w14:paraId="5A5021A3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0.991</w:t>
            </w:r>
          </w:p>
        </w:tc>
      </w:tr>
      <w:tr w:rsidR="000E7210" w:rsidRPr="000E7210" w14:paraId="544E3719" w14:textId="77777777" w:rsidTr="000E7210">
        <w:tc>
          <w:tcPr>
            <w:tcW w:w="958" w:type="pct"/>
            <w:hideMark/>
          </w:tcPr>
          <w:p w14:paraId="338F7A8C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Oligoarthritis</w:t>
            </w:r>
          </w:p>
        </w:tc>
        <w:tc>
          <w:tcPr>
            <w:tcW w:w="198" w:type="pct"/>
            <w:hideMark/>
          </w:tcPr>
          <w:p w14:paraId="225D2341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1699" w:type="pct"/>
            <w:hideMark/>
          </w:tcPr>
          <w:p w14:paraId="6A1E38A5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1510.7 (1313.3–1724.5)</w:t>
            </w:r>
          </w:p>
        </w:tc>
        <w:tc>
          <w:tcPr>
            <w:tcW w:w="958" w:type="pct"/>
            <w:hideMark/>
          </w:tcPr>
          <w:p w14:paraId="24700F73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392</w:t>
            </w:r>
          </w:p>
        </w:tc>
        <w:tc>
          <w:tcPr>
            <w:tcW w:w="599" w:type="pct"/>
            <w:hideMark/>
          </w:tcPr>
          <w:p w14:paraId="7A0D6BC4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&lt;0.0001</w:t>
            </w:r>
          </w:p>
        </w:tc>
        <w:tc>
          <w:tcPr>
            <w:tcW w:w="415" w:type="pct"/>
            <w:hideMark/>
          </w:tcPr>
          <w:p w14:paraId="6FEC38DC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0.805</w:t>
            </w:r>
          </w:p>
        </w:tc>
      </w:tr>
      <w:tr w:rsidR="000E7210" w:rsidRPr="000E7210" w14:paraId="2BB7C3DF" w14:textId="77777777" w:rsidTr="000E7210">
        <w:tc>
          <w:tcPr>
            <w:tcW w:w="958" w:type="pct"/>
            <w:hideMark/>
          </w:tcPr>
          <w:p w14:paraId="57A49891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Polyarthritis</w:t>
            </w:r>
          </w:p>
        </w:tc>
        <w:tc>
          <w:tcPr>
            <w:tcW w:w="198" w:type="pct"/>
            <w:hideMark/>
          </w:tcPr>
          <w:p w14:paraId="607DCE63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1699" w:type="pct"/>
            <w:hideMark/>
          </w:tcPr>
          <w:p w14:paraId="55639264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1679.4 (1209.7–2343.3)</w:t>
            </w:r>
          </w:p>
        </w:tc>
        <w:tc>
          <w:tcPr>
            <w:tcW w:w="958" w:type="pct"/>
            <w:hideMark/>
          </w:tcPr>
          <w:p w14:paraId="67F3EBC7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343</w:t>
            </w:r>
          </w:p>
        </w:tc>
        <w:tc>
          <w:tcPr>
            <w:tcW w:w="599" w:type="pct"/>
            <w:hideMark/>
          </w:tcPr>
          <w:p w14:paraId="13A92F40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&lt;0.0001</w:t>
            </w:r>
          </w:p>
        </w:tc>
        <w:tc>
          <w:tcPr>
            <w:tcW w:w="415" w:type="pct"/>
            <w:hideMark/>
          </w:tcPr>
          <w:p w14:paraId="5C866AB0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0.769</w:t>
            </w:r>
          </w:p>
        </w:tc>
      </w:tr>
      <w:tr w:rsidR="000E7210" w:rsidRPr="000E7210" w14:paraId="1011F181" w14:textId="77777777" w:rsidTr="000E7210">
        <w:tc>
          <w:tcPr>
            <w:tcW w:w="958" w:type="pct"/>
            <w:hideMark/>
          </w:tcPr>
          <w:p w14:paraId="43E204FF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Systemic JIA</w:t>
            </w:r>
          </w:p>
        </w:tc>
        <w:tc>
          <w:tcPr>
            <w:tcW w:w="198" w:type="pct"/>
            <w:hideMark/>
          </w:tcPr>
          <w:p w14:paraId="50E69350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17</w:t>
            </w:r>
          </w:p>
        </w:tc>
        <w:tc>
          <w:tcPr>
            <w:tcW w:w="1699" w:type="pct"/>
            <w:hideMark/>
          </w:tcPr>
          <w:p w14:paraId="38AE3463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1521.8 (1323.0–1758.5)</w:t>
            </w:r>
          </w:p>
        </w:tc>
        <w:tc>
          <w:tcPr>
            <w:tcW w:w="958" w:type="pct"/>
            <w:hideMark/>
          </w:tcPr>
          <w:p w14:paraId="0E1C8904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833</w:t>
            </w:r>
          </w:p>
        </w:tc>
        <w:tc>
          <w:tcPr>
            <w:tcW w:w="599" w:type="pct"/>
            <w:hideMark/>
          </w:tcPr>
          <w:p w14:paraId="77C12A21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&lt;0.0001</w:t>
            </w:r>
          </w:p>
        </w:tc>
        <w:tc>
          <w:tcPr>
            <w:tcW w:w="415" w:type="pct"/>
            <w:hideMark/>
          </w:tcPr>
          <w:p w14:paraId="487A1F5C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0.991</w:t>
            </w:r>
          </w:p>
        </w:tc>
      </w:tr>
      <w:tr w:rsidR="000E7210" w:rsidRPr="000E7210" w14:paraId="776C7A41" w14:textId="77777777" w:rsidTr="000E7210">
        <w:tc>
          <w:tcPr>
            <w:tcW w:w="958" w:type="pct"/>
            <w:hideMark/>
          </w:tcPr>
          <w:p w14:paraId="1B6A969E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Control</w:t>
            </w:r>
          </w:p>
        </w:tc>
        <w:tc>
          <w:tcPr>
            <w:tcW w:w="198" w:type="pct"/>
            <w:hideMark/>
          </w:tcPr>
          <w:p w14:paraId="6320DA14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49</w:t>
            </w:r>
          </w:p>
        </w:tc>
        <w:tc>
          <w:tcPr>
            <w:tcW w:w="1699" w:type="pct"/>
            <w:hideMark/>
          </w:tcPr>
          <w:p w14:paraId="7E5B1152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100.7 (69.5–123.0)</w:t>
            </w:r>
          </w:p>
        </w:tc>
        <w:tc>
          <w:tcPr>
            <w:tcW w:w="958" w:type="pct"/>
            <w:hideMark/>
          </w:tcPr>
          <w:p w14:paraId="06B471C0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—</w:t>
            </w:r>
          </w:p>
        </w:tc>
        <w:tc>
          <w:tcPr>
            <w:tcW w:w="599" w:type="pct"/>
            <w:hideMark/>
          </w:tcPr>
          <w:p w14:paraId="537C8912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—</w:t>
            </w:r>
          </w:p>
        </w:tc>
        <w:tc>
          <w:tcPr>
            <w:tcW w:w="415" w:type="pct"/>
            <w:hideMark/>
          </w:tcPr>
          <w:p w14:paraId="6BA36BD3" w14:textId="77777777" w:rsidR="000E7210" w:rsidRPr="000E7210" w:rsidRDefault="000E7210" w:rsidP="000E721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E7210">
              <w:rPr>
                <w:rFonts w:ascii="Times New Roman" w:eastAsia="SimSun" w:hAnsi="Times New Roman" w:cs="Times New Roman"/>
                <w:kern w:val="0"/>
                <w:szCs w:val="21"/>
              </w:rPr>
              <w:t>—</w:t>
            </w:r>
          </w:p>
        </w:tc>
      </w:tr>
    </w:tbl>
    <w:p w14:paraId="6F78F630" w14:textId="77777777" w:rsidR="008C6B31" w:rsidRDefault="008C6B31" w:rsidP="000E7210">
      <w:pPr>
        <w:widowControl/>
        <w:jc w:val="left"/>
        <w:rPr>
          <w:rFonts w:ascii="Times New Roman" w:eastAsia="SimSun" w:hAnsi="Times New Roman" w:cs="Times New Roman"/>
          <w:kern w:val="0"/>
          <w:szCs w:val="21"/>
        </w:rPr>
      </w:pPr>
    </w:p>
    <w:p w14:paraId="179B1284" w14:textId="080CD5F6" w:rsidR="000E7210" w:rsidRPr="000E7210" w:rsidRDefault="000E7210" w:rsidP="000E7210">
      <w:pPr>
        <w:widowControl/>
        <w:jc w:val="left"/>
        <w:rPr>
          <w:rFonts w:ascii="Times New Roman" w:eastAsia="SimSun" w:hAnsi="Times New Roman" w:cs="Times New Roman"/>
          <w:kern w:val="0"/>
          <w:szCs w:val="21"/>
        </w:rPr>
      </w:pPr>
      <w:r w:rsidRPr="000E7210">
        <w:rPr>
          <w:rFonts w:ascii="Times New Roman" w:eastAsia="SimSun" w:hAnsi="Times New Roman" w:cs="Times New Roman"/>
          <w:kern w:val="0"/>
          <w:szCs w:val="21"/>
        </w:rPr>
        <w:t xml:space="preserve">Kruskal–Wallis test across four JIA subtypes: χ² = 0.539, df = 3, </w:t>
      </w:r>
      <w:r w:rsidRPr="006917C6">
        <w:rPr>
          <w:rFonts w:ascii="Times New Roman" w:eastAsia="SimSun" w:hAnsi="Times New Roman" w:cs="Times New Roman"/>
          <w:i/>
          <w:iCs/>
          <w:kern w:val="0"/>
          <w:szCs w:val="21"/>
        </w:rPr>
        <w:t>P</w:t>
      </w:r>
      <w:r w:rsidRPr="000E7210">
        <w:rPr>
          <w:rFonts w:ascii="Times New Roman" w:eastAsia="SimSun" w:hAnsi="Times New Roman" w:cs="Times New Roman"/>
          <w:kern w:val="0"/>
          <w:szCs w:val="21"/>
        </w:rPr>
        <w:t xml:space="preserve"> = 0.910.</w:t>
      </w:r>
    </w:p>
    <w:p w14:paraId="33221205" w14:textId="22BD4103" w:rsidR="000E7210" w:rsidRDefault="000E7210" w:rsidP="000E7210">
      <w:pPr>
        <w:widowControl/>
        <w:jc w:val="left"/>
        <w:rPr>
          <w:rFonts w:ascii="Times New Roman" w:eastAsia="SimSun" w:hAnsi="Times New Roman" w:cs="Times New Roman"/>
          <w:kern w:val="0"/>
          <w:szCs w:val="21"/>
        </w:rPr>
      </w:pPr>
      <w:r w:rsidRPr="000E7210">
        <w:rPr>
          <w:rFonts w:ascii="Times New Roman" w:eastAsia="SimSun" w:hAnsi="Times New Roman" w:cs="Times New Roman"/>
          <w:kern w:val="0"/>
          <w:szCs w:val="21"/>
        </w:rPr>
        <w:t>Effect size r was calculated as r = |Z|/</w:t>
      </w:r>
      <m:oMath>
        <m:rad>
          <m:radPr>
            <m:degHide m:val="1"/>
            <m:ctrlPr>
              <w:rPr>
                <w:rFonts w:ascii="Cambria Math" w:eastAsia="SimSun" w:hAnsi="Cambria Math" w:cs="Times New Roman"/>
                <w:i/>
                <w:kern w:val="0"/>
                <w:szCs w:val="21"/>
              </w:rPr>
            </m:ctrlPr>
          </m:radPr>
          <m:deg/>
          <m:e>
            <m:r>
              <w:rPr>
                <w:rFonts w:ascii="Cambria Math" w:eastAsia="SimSun" w:hAnsi="Cambria Math" w:cs="Times New Roman"/>
                <w:kern w:val="0"/>
                <w:szCs w:val="21"/>
              </w:rPr>
              <m:t>N</m:t>
            </m:r>
          </m:e>
        </m:rad>
      </m:oMath>
      <w:r w:rsidRPr="000E7210">
        <w:rPr>
          <w:rFonts w:ascii="Times New Roman" w:eastAsia="SimSun" w:hAnsi="Times New Roman" w:cs="Times New Roman"/>
          <w:kern w:val="0"/>
          <w:szCs w:val="21"/>
        </w:rPr>
        <w:t xml:space="preserve">, where Z is the standard normal deviate derived from the Wilcoxon test </w:t>
      </w:r>
      <w:r w:rsidRPr="008C6B31">
        <w:rPr>
          <w:rFonts w:ascii="Times New Roman" w:eastAsia="SimSun" w:hAnsi="Times New Roman" w:cs="Times New Roman"/>
          <w:i/>
          <w:iCs/>
          <w:kern w:val="0"/>
          <w:szCs w:val="21"/>
        </w:rPr>
        <w:t>P</w:t>
      </w:r>
      <w:r w:rsidRPr="000E7210">
        <w:rPr>
          <w:rFonts w:ascii="Times New Roman" w:eastAsia="SimSun" w:hAnsi="Times New Roman" w:cs="Times New Roman"/>
          <w:kern w:val="0"/>
          <w:szCs w:val="21"/>
        </w:rPr>
        <w:t xml:space="preserve"> value and N is the total number of observations in the comparison. Values of 0.1, 0.3, and 0.5 represent small, medium, and large effects, respectively (Cohen, 1988).</w:t>
      </w:r>
    </w:p>
    <w:p w14:paraId="3E1F81C5" w14:textId="77777777" w:rsidR="008C6B31" w:rsidRDefault="008C6B31" w:rsidP="000E7210">
      <w:pPr>
        <w:widowControl/>
        <w:jc w:val="left"/>
        <w:rPr>
          <w:rFonts w:ascii="Times New Roman" w:eastAsia="SimSun" w:hAnsi="Times New Roman" w:cs="Times New Roman"/>
          <w:kern w:val="0"/>
          <w:szCs w:val="21"/>
        </w:rPr>
      </w:pPr>
    </w:p>
    <w:p w14:paraId="0AD0BC40" w14:textId="04B82CD0" w:rsidR="008C6B31" w:rsidRPr="004A28AB" w:rsidRDefault="008C6B31" w:rsidP="000E7210">
      <w:pPr>
        <w:widowControl/>
        <w:jc w:val="left"/>
        <w:rPr>
          <w:rFonts w:ascii="Times New Roman" w:eastAsia="SimSun" w:hAnsi="Times New Roman" w:cs="Times New Roman"/>
          <w:b/>
          <w:bCs/>
          <w:kern w:val="0"/>
          <w:szCs w:val="21"/>
        </w:rPr>
      </w:pPr>
      <w:r w:rsidRPr="004A28AB">
        <w:rPr>
          <w:rFonts w:ascii="Times New Roman" w:eastAsia="SimSun" w:hAnsi="Times New Roman" w:cs="Times New Roman"/>
          <w:b/>
          <w:bCs/>
          <w:kern w:val="0"/>
          <w:szCs w:val="21"/>
        </w:rPr>
        <w:t>Reference:</w:t>
      </w:r>
    </w:p>
    <w:p w14:paraId="7CD5EFD2" w14:textId="0D2DF3BD" w:rsidR="008C6B31" w:rsidRPr="000E7210" w:rsidRDefault="008C6B31" w:rsidP="000E7210">
      <w:pPr>
        <w:widowControl/>
        <w:jc w:val="left"/>
        <w:rPr>
          <w:rFonts w:ascii="Times New Roman" w:eastAsia="SimSun" w:hAnsi="Times New Roman" w:cs="Times New Roman"/>
          <w:kern w:val="0"/>
          <w:szCs w:val="21"/>
        </w:rPr>
      </w:pPr>
      <w:r w:rsidRPr="008C6B31">
        <w:rPr>
          <w:rFonts w:ascii="Times New Roman" w:eastAsia="SimSun" w:hAnsi="Times New Roman" w:cs="Times New Roman"/>
          <w:kern w:val="0"/>
          <w:szCs w:val="21"/>
        </w:rPr>
        <w:t>Cohen J. Statistical Power Analysis for the Behavioral Sciences. 2nd ed. Hillsdale, NJ: Lawrence Erlbaum Associates; 1988.</w:t>
      </w:r>
    </w:p>
    <w:sectPr w:rsidR="008C6B31" w:rsidRPr="000E7210" w:rsidSect="000E721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15653" w14:textId="77777777" w:rsidR="007545A7" w:rsidRDefault="007545A7" w:rsidP="000E7210">
      <w:r>
        <w:separator/>
      </w:r>
    </w:p>
  </w:endnote>
  <w:endnote w:type="continuationSeparator" w:id="0">
    <w:p w14:paraId="5ACF90B2" w14:textId="77777777" w:rsidR="007545A7" w:rsidRDefault="007545A7" w:rsidP="000E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7185D" w14:textId="77777777" w:rsidR="007545A7" w:rsidRDefault="007545A7" w:rsidP="000E7210">
      <w:r>
        <w:separator/>
      </w:r>
    </w:p>
  </w:footnote>
  <w:footnote w:type="continuationSeparator" w:id="0">
    <w:p w14:paraId="55EEDB8C" w14:textId="77777777" w:rsidR="007545A7" w:rsidRDefault="007545A7" w:rsidP="000E72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96E3021C-3F77-45CE-BED0-75FFEAD2BAE1}"/>
    <w:docVar w:name="KY_MEDREF_VERSION" w:val="3"/>
  </w:docVars>
  <w:rsids>
    <w:rsidRoot w:val="000E7210"/>
    <w:rsid w:val="000E7210"/>
    <w:rsid w:val="000F3144"/>
    <w:rsid w:val="00102576"/>
    <w:rsid w:val="00193329"/>
    <w:rsid w:val="002D2563"/>
    <w:rsid w:val="002F25BA"/>
    <w:rsid w:val="002F68D2"/>
    <w:rsid w:val="003B1DC5"/>
    <w:rsid w:val="0043160E"/>
    <w:rsid w:val="004A28AB"/>
    <w:rsid w:val="004B6542"/>
    <w:rsid w:val="005D7919"/>
    <w:rsid w:val="005E6B94"/>
    <w:rsid w:val="00610D74"/>
    <w:rsid w:val="0068238D"/>
    <w:rsid w:val="006917C6"/>
    <w:rsid w:val="00695569"/>
    <w:rsid w:val="00745BB3"/>
    <w:rsid w:val="007545A7"/>
    <w:rsid w:val="007B171D"/>
    <w:rsid w:val="00823210"/>
    <w:rsid w:val="008B040D"/>
    <w:rsid w:val="008C6B31"/>
    <w:rsid w:val="009C08AC"/>
    <w:rsid w:val="00C17B60"/>
    <w:rsid w:val="00D1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D6EA09"/>
  <w15:chartTrackingRefBased/>
  <w15:docId w15:val="{32225D0C-2057-47E3-A640-9A53EE20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72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7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72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21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21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21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21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21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21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21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7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7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210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210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210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21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21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21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0E72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2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2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2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2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2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2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2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2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72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721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72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7210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E721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0E7210"/>
    <w:rPr>
      <w:b/>
      <w:bCs/>
    </w:rPr>
  </w:style>
  <w:style w:type="character" w:styleId="Emphasis">
    <w:name w:val="Emphasis"/>
    <w:basedOn w:val="DefaultParagraphFont"/>
    <w:uiPriority w:val="20"/>
    <w:qFormat/>
    <w:rsid w:val="000E7210"/>
    <w:rPr>
      <w:i/>
      <w:iCs/>
    </w:rPr>
  </w:style>
  <w:style w:type="table" w:styleId="TableGrid">
    <w:name w:val="Table Grid"/>
    <w:basedOn w:val="TableNormal"/>
    <w:uiPriority w:val="39"/>
    <w:rsid w:val="000E7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025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xubo qian</dc:creator>
  <cp:keywords/>
  <dc:description/>
  <cp:lastModifiedBy>Hernando Sevilla</cp:lastModifiedBy>
  <cp:revision>9</cp:revision>
  <dcterms:created xsi:type="dcterms:W3CDTF">2026-06-19T13:43:00Z</dcterms:created>
  <dcterms:modified xsi:type="dcterms:W3CDTF">2026-09-03T01:53:00Z</dcterms:modified>
</cp:coreProperties>
</file>