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5B9" w:rsidRPr="004D5E01" w:rsidRDefault="002175B9" w:rsidP="002175B9">
      <w:pPr>
        <w:spacing w:line="276" w:lineRule="auto"/>
        <w:jc w:val="left"/>
        <w:rPr>
          <w:b/>
          <w:lang w:val="en-US"/>
        </w:rPr>
      </w:pPr>
      <w:r w:rsidRPr="004D5E01">
        <w:rPr>
          <w:b/>
          <w:lang w:val="en-US"/>
        </w:rPr>
        <w:t xml:space="preserve">Additional file </w:t>
      </w:r>
      <w:r w:rsidR="002C05F4">
        <w:rPr>
          <w:b/>
          <w:lang w:val="en-US"/>
        </w:rPr>
        <w:t>2</w:t>
      </w:r>
    </w:p>
    <w:p w:rsidR="002175B9" w:rsidRDefault="00B96CD8" w:rsidP="002175B9">
      <w:pPr>
        <w:jc w:val="center"/>
        <w:rPr>
          <w:b/>
          <w:lang w:val="en-US"/>
        </w:rPr>
      </w:pPr>
      <w:r>
        <w:rPr>
          <w:b/>
          <w:noProof/>
        </w:rPr>
        <w:drawing>
          <wp:inline distT="0" distB="0" distL="0" distR="0">
            <wp:extent cx="4153662" cy="3296412"/>
            <wp:effectExtent l="19050" t="0" r="0" b="0"/>
            <wp:docPr id="3" name="Picture 2" descr="Fig.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53662" cy="329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5B9" w:rsidRPr="005C63ED" w:rsidRDefault="002175B9" w:rsidP="002175B9">
      <w:pPr>
        <w:rPr>
          <w:szCs w:val="24"/>
          <w:lang w:val="en-US"/>
        </w:rPr>
      </w:pPr>
      <w:r w:rsidRPr="005C63ED">
        <w:rPr>
          <w:b/>
          <w:szCs w:val="24"/>
          <w:lang w:val="en-US"/>
        </w:rPr>
        <w:t xml:space="preserve">Figure S2. </w:t>
      </w:r>
      <w:proofErr w:type="gramStart"/>
      <w:r w:rsidRPr="005C63ED">
        <w:rPr>
          <w:b/>
          <w:szCs w:val="24"/>
          <w:lang w:val="en-US"/>
        </w:rPr>
        <w:t xml:space="preserve">Quantitative RT-PCR </w:t>
      </w:r>
      <w:r w:rsidRPr="005C63ED">
        <w:rPr>
          <w:rFonts w:cs="Times New Roman"/>
          <w:b/>
          <w:szCs w:val="24"/>
          <w:lang w:val="en-US"/>
        </w:rPr>
        <w:t xml:space="preserve">analysis of the relative mRNA level of </w:t>
      </w:r>
      <w:r w:rsidRPr="005C63ED">
        <w:rPr>
          <w:rFonts w:cs="Times New Roman"/>
          <w:b/>
          <w:i/>
          <w:szCs w:val="24"/>
          <w:lang w:val="en-US"/>
        </w:rPr>
        <w:t>PaWOX2</w:t>
      </w:r>
      <w:r w:rsidRPr="005C63ED">
        <w:rPr>
          <w:rFonts w:cs="Times New Roman"/>
          <w:b/>
          <w:szCs w:val="24"/>
          <w:lang w:val="en-US"/>
        </w:rPr>
        <w:t xml:space="preserve"> in early late embryos (LE1s)</w:t>
      </w:r>
      <w:r w:rsidRPr="005C63ED">
        <w:rPr>
          <w:b/>
          <w:szCs w:val="24"/>
          <w:lang w:val="en-US"/>
        </w:rPr>
        <w:t>.</w:t>
      </w:r>
      <w:proofErr w:type="gramEnd"/>
      <w:r w:rsidRPr="005C63ED">
        <w:rPr>
          <w:szCs w:val="24"/>
          <w:lang w:val="en-US"/>
        </w:rPr>
        <w:t xml:space="preserve"> LE1s were sampled after two weeks on maturation medium from the control</w:t>
      </w:r>
      <w:r w:rsidR="00FF4EB2">
        <w:rPr>
          <w:szCs w:val="24"/>
          <w:lang w:val="en-US"/>
        </w:rPr>
        <w:t>,</w:t>
      </w:r>
      <w:r w:rsidR="00AA3B8B">
        <w:rPr>
          <w:szCs w:val="24"/>
          <w:lang w:val="en-US"/>
        </w:rPr>
        <w:t xml:space="preserve"> </w:t>
      </w:r>
      <w:r w:rsidRPr="005C63ED">
        <w:rPr>
          <w:szCs w:val="24"/>
          <w:lang w:val="en-US"/>
        </w:rPr>
        <w:t>35S:</w:t>
      </w:r>
      <w:r w:rsidRPr="005C63ED">
        <w:rPr>
          <w:i/>
          <w:szCs w:val="24"/>
          <w:lang w:val="en-US"/>
        </w:rPr>
        <w:t>WOX2i</w:t>
      </w:r>
      <w:r w:rsidR="00AA3B8B">
        <w:rPr>
          <w:szCs w:val="24"/>
          <w:lang w:val="en-US"/>
        </w:rPr>
        <w:t xml:space="preserve"> </w:t>
      </w:r>
      <w:r w:rsidRPr="005C63ED">
        <w:rPr>
          <w:szCs w:val="24"/>
          <w:lang w:val="en-US"/>
        </w:rPr>
        <w:t>and XVE-</w:t>
      </w:r>
      <w:r w:rsidRPr="005C63ED">
        <w:rPr>
          <w:i/>
          <w:szCs w:val="24"/>
          <w:lang w:val="en-US"/>
        </w:rPr>
        <w:t>WOX2i</w:t>
      </w:r>
      <w:r w:rsidRPr="005C63ED">
        <w:rPr>
          <w:szCs w:val="24"/>
          <w:lang w:val="en-US"/>
        </w:rPr>
        <w:t xml:space="preserve"> lines. The mRNA level</w:t>
      </w:r>
      <w:r w:rsidR="00BC0D13">
        <w:rPr>
          <w:szCs w:val="24"/>
          <w:lang w:val="en-US"/>
        </w:rPr>
        <w:t xml:space="preserve"> of </w:t>
      </w:r>
      <w:r w:rsidR="0046347D" w:rsidRPr="0046347D">
        <w:rPr>
          <w:i/>
          <w:szCs w:val="24"/>
          <w:lang w:val="en-US"/>
        </w:rPr>
        <w:t>PaWOX2</w:t>
      </w:r>
      <w:r w:rsidRPr="005C63ED">
        <w:rPr>
          <w:szCs w:val="24"/>
          <w:lang w:val="en-US"/>
        </w:rPr>
        <w:t xml:space="preserve"> </w:t>
      </w:r>
      <w:r w:rsidR="00BC0D13">
        <w:rPr>
          <w:rFonts w:cs="Times New Roman"/>
          <w:szCs w:val="24"/>
          <w:lang w:val="en-US"/>
        </w:rPr>
        <w:t>was</w:t>
      </w:r>
      <w:r w:rsidRPr="005C63ED">
        <w:rPr>
          <w:rFonts w:cs="Times New Roman"/>
          <w:szCs w:val="24"/>
          <w:lang w:val="en-US"/>
        </w:rPr>
        <w:t xml:space="preserve"> normalized against </w:t>
      </w:r>
      <w:r w:rsidRPr="005C63ED">
        <w:rPr>
          <w:szCs w:val="24"/>
          <w:lang w:val="en-US"/>
        </w:rPr>
        <w:t xml:space="preserve">three reference genes: </w:t>
      </w:r>
      <w:r w:rsidRPr="005C63ED">
        <w:rPr>
          <w:i/>
          <w:iCs/>
          <w:szCs w:val="24"/>
          <w:lang w:val="en-US"/>
        </w:rPr>
        <w:t xml:space="preserve">CELL DIVISION CONTROL2 (PaCDC2), ELONGATION FACTOR 1 (PaEF1) </w:t>
      </w:r>
      <w:r w:rsidRPr="005C63ED">
        <w:rPr>
          <w:szCs w:val="24"/>
          <w:lang w:val="en-US"/>
        </w:rPr>
        <w:t xml:space="preserve">and </w:t>
      </w:r>
      <w:r w:rsidRPr="005C63ED">
        <w:rPr>
          <w:i/>
          <w:iCs/>
          <w:szCs w:val="24"/>
          <w:lang w:val="en-US"/>
        </w:rPr>
        <w:t>PHOSPHOGLUCOMUTASE (</w:t>
      </w:r>
      <w:proofErr w:type="spellStart"/>
      <w:r w:rsidRPr="005C63ED">
        <w:rPr>
          <w:i/>
          <w:iCs/>
          <w:szCs w:val="24"/>
          <w:lang w:val="en-US"/>
        </w:rPr>
        <w:t>PaPHOS</w:t>
      </w:r>
      <w:proofErr w:type="spellEnd"/>
      <w:r w:rsidRPr="005C63ED">
        <w:rPr>
          <w:i/>
          <w:iCs/>
          <w:szCs w:val="24"/>
          <w:lang w:val="en-US"/>
        </w:rPr>
        <w:t>)</w:t>
      </w:r>
      <w:r w:rsidRPr="005C63ED">
        <w:rPr>
          <w:szCs w:val="24"/>
          <w:lang w:val="en-US"/>
        </w:rPr>
        <w:t>. The</w:t>
      </w:r>
      <w:r w:rsidR="00757570">
        <w:rPr>
          <w:szCs w:val="24"/>
          <w:lang w:val="en-US"/>
        </w:rPr>
        <w:t xml:space="preserve"> presented</w:t>
      </w:r>
      <w:bookmarkStart w:id="0" w:name="_GoBack"/>
      <w:bookmarkEnd w:id="0"/>
      <w:r w:rsidRPr="005C63ED">
        <w:rPr>
          <w:szCs w:val="24"/>
          <w:lang w:val="en-US"/>
        </w:rPr>
        <w:t xml:space="preserve"> </w:t>
      </w:r>
      <w:proofErr w:type="gramStart"/>
      <w:r w:rsidR="00FF4EB2">
        <w:rPr>
          <w:szCs w:val="24"/>
          <w:lang w:val="en-US"/>
        </w:rPr>
        <w:t>data</w:t>
      </w:r>
      <w:r w:rsidR="00152E7B">
        <w:rPr>
          <w:szCs w:val="24"/>
          <w:lang w:val="en-US"/>
        </w:rPr>
        <w:t xml:space="preserve"> </w:t>
      </w:r>
      <w:r w:rsidRPr="005C63ED">
        <w:rPr>
          <w:szCs w:val="24"/>
          <w:lang w:val="en-US"/>
        </w:rPr>
        <w:t xml:space="preserve"> are</w:t>
      </w:r>
      <w:proofErr w:type="gramEnd"/>
      <w:r w:rsidRPr="005C63ED">
        <w:rPr>
          <w:szCs w:val="24"/>
          <w:lang w:val="en-US"/>
        </w:rPr>
        <w:t xml:space="preserve"> mean</w:t>
      </w:r>
      <w:r w:rsidR="00FF4EB2">
        <w:rPr>
          <w:szCs w:val="24"/>
          <w:lang w:val="en-US"/>
        </w:rPr>
        <w:t>s</w:t>
      </w:r>
      <w:r w:rsidRPr="005C63ED">
        <w:rPr>
          <w:szCs w:val="24"/>
          <w:lang w:val="en-US"/>
        </w:rPr>
        <w:t xml:space="preserve"> ± SE of three biological replicates. A) Relative mRNA level of </w:t>
      </w:r>
      <w:r w:rsidRPr="005C63ED">
        <w:rPr>
          <w:i/>
          <w:iCs/>
          <w:szCs w:val="24"/>
          <w:lang w:val="en-US"/>
        </w:rPr>
        <w:t xml:space="preserve">PaWOX2 </w:t>
      </w:r>
      <w:r w:rsidRPr="005C63ED">
        <w:rPr>
          <w:szCs w:val="24"/>
          <w:lang w:val="en-US"/>
        </w:rPr>
        <w:t>in line XVE-</w:t>
      </w:r>
      <w:r w:rsidRPr="005C63ED">
        <w:rPr>
          <w:i/>
          <w:iCs/>
          <w:szCs w:val="24"/>
          <w:lang w:val="en-US"/>
        </w:rPr>
        <w:t>WOX2i.12</w:t>
      </w:r>
      <w:r w:rsidRPr="005C63ED">
        <w:rPr>
          <w:szCs w:val="24"/>
          <w:lang w:val="en-US"/>
        </w:rPr>
        <w:t xml:space="preserve">. Relative mRNA level of </w:t>
      </w:r>
      <w:r w:rsidRPr="005C63ED">
        <w:rPr>
          <w:i/>
          <w:iCs/>
          <w:szCs w:val="24"/>
          <w:lang w:val="en-US"/>
        </w:rPr>
        <w:t xml:space="preserve">PaWOX2 </w:t>
      </w:r>
      <w:r w:rsidRPr="005C63ED">
        <w:rPr>
          <w:szCs w:val="24"/>
          <w:lang w:val="en-US"/>
        </w:rPr>
        <w:t>in control and line XVE-</w:t>
      </w:r>
      <w:r w:rsidRPr="005C63ED">
        <w:rPr>
          <w:i/>
          <w:iCs/>
          <w:szCs w:val="24"/>
          <w:lang w:val="en-US"/>
        </w:rPr>
        <w:t>WOX2i</w:t>
      </w:r>
      <w:r w:rsidRPr="005C63ED">
        <w:rPr>
          <w:szCs w:val="24"/>
          <w:lang w:val="en-US"/>
        </w:rPr>
        <w:t>.</w:t>
      </w:r>
      <w:r w:rsidRPr="005C63ED">
        <w:rPr>
          <w:i/>
          <w:szCs w:val="24"/>
          <w:lang w:val="en-US"/>
        </w:rPr>
        <w:t>12</w:t>
      </w:r>
      <w:r w:rsidRPr="005C63ED">
        <w:rPr>
          <w:szCs w:val="24"/>
          <w:lang w:val="en-US"/>
        </w:rPr>
        <w:t xml:space="preserve">, non-induced (black bars) or induced for 48h with </w:t>
      </w:r>
      <w:r w:rsidRPr="005C63ED">
        <w:rPr>
          <w:i/>
          <w:szCs w:val="24"/>
        </w:rPr>
        <w:t>β</w:t>
      </w:r>
      <w:r w:rsidRPr="005C63ED">
        <w:rPr>
          <w:szCs w:val="24"/>
          <w:lang w:val="en-US"/>
        </w:rPr>
        <w:t>-estradiol (grey bars). Asterisks indicate significant differences between the control and the line XVE-</w:t>
      </w:r>
      <w:r w:rsidRPr="005C63ED">
        <w:rPr>
          <w:i/>
          <w:iCs/>
          <w:szCs w:val="24"/>
          <w:lang w:val="en-US"/>
        </w:rPr>
        <w:t xml:space="preserve">PaWOX2i.12 </w:t>
      </w:r>
      <w:r w:rsidRPr="005C63ED">
        <w:rPr>
          <w:szCs w:val="24"/>
          <w:lang w:val="en-US"/>
        </w:rPr>
        <w:t>(</w:t>
      </w:r>
      <w:proofErr w:type="gramStart"/>
      <w:r w:rsidR="0069384E">
        <w:rPr>
          <w:rFonts w:cs="Times New Roman"/>
          <w:lang w:val="en-US"/>
        </w:rPr>
        <w:t xml:space="preserve">ANOVA </w:t>
      </w:r>
      <w:r w:rsidR="00B96CD8">
        <w:rPr>
          <w:szCs w:val="24"/>
          <w:lang w:val="en-US"/>
        </w:rPr>
        <w:t>,</w:t>
      </w:r>
      <w:proofErr w:type="gramEnd"/>
      <w:r w:rsidR="00B96CD8">
        <w:rPr>
          <w:szCs w:val="24"/>
          <w:lang w:val="en-US"/>
        </w:rPr>
        <w:t xml:space="preserve"> </w:t>
      </w:r>
      <w:r w:rsidRPr="005C63ED">
        <w:rPr>
          <w:szCs w:val="24"/>
          <w:lang w:val="en-US"/>
        </w:rPr>
        <w:t>p&lt;0.05)</w:t>
      </w:r>
      <w:r w:rsidR="00FF4EB2">
        <w:rPr>
          <w:szCs w:val="24"/>
          <w:lang w:val="en-US"/>
        </w:rPr>
        <w:t>;</w:t>
      </w:r>
      <w:r w:rsidR="00FF4EB2" w:rsidRPr="005C63ED">
        <w:rPr>
          <w:szCs w:val="24"/>
          <w:lang w:val="en-US"/>
        </w:rPr>
        <w:t xml:space="preserve"> </w:t>
      </w:r>
      <w:r w:rsidRPr="005C63ED">
        <w:rPr>
          <w:szCs w:val="24"/>
          <w:lang w:val="en-US"/>
        </w:rPr>
        <w:t>circles indicate significant difference between the non-induced and induced cultures (</w:t>
      </w:r>
      <w:r w:rsidR="0069384E">
        <w:rPr>
          <w:rFonts w:cs="Times New Roman"/>
          <w:lang w:val="en-US"/>
        </w:rPr>
        <w:t>ANOVA</w:t>
      </w:r>
      <w:r w:rsidR="00BD4B8B">
        <w:rPr>
          <w:rFonts w:cs="Times New Roman"/>
          <w:lang w:val="en-US"/>
        </w:rPr>
        <w:t>,</w:t>
      </w:r>
      <w:r w:rsidR="00BD4B8B" w:rsidRPr="005C63ED">
        <w:rPr>
          <w:szCs w:val="24"/>
          <w:lang w:val="en-US"/>
        </w:rPr>
        <w:t xml:space="preserve"> </w:t>
      </w:r>
      <w:r w:rsidRPr="005C63ED">
        <w:rPr>
          <w:szCs w:val="24"/>
          <w:lang w:val="en-US"/>
        </w:rPr>
        <w:t xml:space="preserve">p&lt;0.05). B) Relative mRNA level of </w:t>
      </w:r>
      <w:r w:rsidRPr="005C63ED">
        <w:rPr>
          <w:i/>
          <w:iCs/>
          <w:szCs w:val="24"/>
          <w:lang w:val="en-US"/>
        </w:rPr>
        <w:t xml:space="preserve">PaWOX2 </w:t>
      </w:r>
      <w:r w:rsidRPr="005C63ED">
        <w:rPr>
          <w:szCs w:val="24"/>
          <w:lang w:val="en-US"/>
        </w:rPr>
        <w:t>in 35S:</w:t>
      </w:r>
      <w:r w:rsidRPr="005C63ED">
        <w:rPr>
          <w:i/>
          <w:iCs/>
          <w:szCs w:val="24"/>
          <w:lang w:val="en-US"/>
        </w:rPr>
        <w:t>WOX2i</w:t>
      </w:r>
      <w:r w:rsidR="00BC0D13">
        <w:rPr>
          <w:iCs/>
          <w:szCs w:val="24"/>
          <w:lang w:val="en-US"/>
        </w:rPr>
        <w:t xml:space="preserve"> </w:t>
      </w:r>
      <w:r w:rsidRPr="005C63ED">
        <w:rPr>
          <w:szCs w:val="24"/>
          <w:lang w:val="en-US"/>
        </w:rPr>
        <w:t>(2-4). Asterisks indicate significant differences between the control and the 35S:</w:t>
      </w:r>
      <w:r w:rsidRPr="005C63ED">
        <w:rPr>
          <w:i/>
          <w:iCs/>
          <w:szCs w:val="24"/>
          <w:lang w:val="en-US"/>
        </w:rPr>
        <w:t xml:space="preserve">PaWOX2i </w:t>
      </w:r>
      <w:r w:rsidRPr="005C63ED">
        <w:rPr>
          <w:szCs w:val="24"/>
          <w:lang w:val="en-US"/>
        </w:rPr>
        <w:t>lines (</w:t>
      </w:r>
      <w:r w:rsidR="00BD4B8B">
        <w:rPr>
          <w:rFonts w:cs="Times New Roman"/>
          <w:lang w:val="en-US"/>
        </w:rPr>
        <w:t>two</w:t>
      </w:r>
      <w:r w:rsidR="00BD4B8B" w:rsidRPr="0052307C">
        <w:rPr>
          <w:rFonts w:cs="Times New Roman"/>
          <w:lang w:val="en-US"/>
        </w:rPr>
        <w:t xml:space="preserve"> tail t-test</w:t>
      </w:r>
      <w:r w:rsidR="00BD4B8B">
        <w:rPr>
          <w:rFonts w:cs="Times New Roman"/>
          <w:lang w:val="en-US"/>
        </w:rPr>
        <w:t>,</w:t>
      </w:r>
      <w:r w:rsidR="00BD4B8B" w:rsidRPr="005C63ED">
        <w:rPr>
          <w:szCs w:val="24"/>
          <w:lang w:val="en-US"/>
        </w:rPr>
        <w:t xml:space="preserve"> </w:t>
      </w:r>
      <w:r w:rsidRPr="005C63ED">
        <w:rPr>
          <w:szCs w:val="24"/>
          <w:lang w:val="en-US"/>
        </w:rPr>
        <w:t>p&lt;0.05).</w:t>
      </w:r>
    </w:p>
    <w:p w:rsidR="005C4121" w:rsidRPr="002175B9" w:rsidRDefault="005C4121">
      <w:pPr>
        <w:rPr>
          <w:lang w:val="en-US"/>
        </w:rPr>
      </w:pPr>
    </w:p>
    <w:sectPr w:rsidR="005C4121" w:rsidRPr="002175B9" w:rsidSect="00EE307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trackRevisions/>
  <w:defaultTabStop w:val="1304"/>
  <w:hyphenationZone w:val="425"/>
  <w:characterSpacingControl w:val="doNotCompress"/>
  <w:compat>
    <w:useFELayout/>
  </w:compat>
  <w:rsids>
    <w:rsidRoot w:val="002175B9"/>
    <w:rsid w:val="000615ED"/>
    <w:rsid w:val="00093EF4"/>
    <w:rsid w:val="000C1F10"/>
    <w:rsid w:val="0011158B"/>
    <w:rsid w:val="0014726E"/>
    <w:rsid w:val="00152E7B"/>
    <w:rsid w:val="002175B9"/>
    <w:rsid w:val="002B50EE"/>
    <w:rsid w:val="002C05F4"/>
    <w:rsid w:val="00312498"/>
    <w:rsid w:val="0046347D"/>
    <w:rsid w:val="00521576"/>
    <w:rsid w:val="005C4121"/>
    <w:rsid w:val="005C63ED"/>
    <w:rsid w:val="0069384E"/>
    <w:rsid w:val="006B65A1"/>
    <w:rsid w:val="00757570"/>
    <w:rsid w:val="009954FD"/>
    <w:rsid w:val="00AA3B8B"/>
    <w:rsid w:val="00B96CD8"/>
    <w:rsid w:val="00BC0D13"/>
    <w:rsid w:val="00BD4B8B"/>
    <w:rsid w:val="00EA3B66"/>
    <w:rsid w:val="00EE307D"/>
    <w:rsid w:val="00FB49BD"/>
    <w:rsid w:val="00FF4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5B9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175B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5B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F4E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4E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4EB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E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EB2"/>
    <w:rPr>
      <w:rFonts w:ascii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5B9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175B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5B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F4E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4E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4EB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E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EB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164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Biology and Forest Genetics, SLU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tianqing</dc:creator>
  <cp:lastModifiedBy>tianqing</cp:lastModifiedBy>
  <cp:revision>6</cp:revision>
  <cp:lastPrinted>2015-11-23T13:12:00Z</cp:lastPrinted>
  <dcterms:created xsi:type="dcterms:W3CDTF">2015-11-23T14:11:00Z</dcterms:created>
  <dcterms:modified xsi:type="dcterms:W3CDTF">2015-12-22T12:56:00Z</dcterms:modified>
</cp:coreProperties>
</file>