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4778" w:rsidRDefault="002C4778" w:rsidP="002C4778">
      <w:pPr>
        <w:widowControl/>
        <w:jc w:val="left"/>
        <w:rPr>
          <w:rFonts w:ascii="Times New Roman" w:hAnsi="Times New Roman" w:cs="Times New Roman"/>
          <w:szCs w:val="21"/>
        </w:rPr>
      </w:pPr>
    </w:p>
    <w:p w:rsidR="002C4778" w:rsidRPr="0095073B" w:rsidRDefault="002C4778" w:rsidP="002C4778">
      <w:pPr>
        <w:widowControl/>
        <w:rPr>
          <w:rFonts w:ascii="Times New Roman" w:hAnsi="Times New Roman" w:cs="Times New Roman"/>
        </w:rPr>
      </w:pPr>
      <w:r w:rsidRPr="00A94313">
        <w:rPr>
          <w:rFonts w:ascii="Times New Roman" w:hAnsi="Times New Roman" w:cs="Times New Roman"/>
          <w:b/>
        </w:rPr>
        <w:t>Figure S1.</w:t>
      </w:r>
      <w:r>
        <w:rPr>
          <w:rFonts w:ascii="Times New Roman" w:hAnsi="Times New Roman" w:cs="Times New Roman"/>
        </w:rPr>
        <w:t xml:space="preserve"> </w:t>
      </w:r>
      <w:r w:rsidRPr="0095073B">
        <w:rPr>
          <w:rFonts w:ascii="Times New Roman" w:hAnsi="Times New Roman" w:cs="Times New Roman"/>
        </w:rPr>
        <w:t>Changes in soil relative water contents</w:t>
      </w:r>
      <w:r>
        <w:rPr>
          <w:rFonts w:ascii="Times New Roman" w:hAnsi="Times New Roman" w:cs="Times New Roman"/>
        </w:rPr>
        <w:t xml:space="preserve"> (SRWC) at ambient and elevated CO</w:t>
      </w:r>
      <w:r w:rsidRPr="00630158"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concentrations with a water status gradient</w:t>
      </w:r>
      <w:r w:rsidRPr="0095073B">
        <w:rPr>
          <w:rFonts w:ascii="Times New Roman" w:hAnsi="Times New Roman" w:cs="Times New Roman"/>
        </w:rPr>
        <w:t xml:space="preserve"> during a given period.</w:t>
      </w:r>
      <w:r>
        <w:rPr>
          <w:rFonts w:ascii="Times New Roman" w:hAnsi="Times New Roman" w:cs="Times New Roman"/>
        </w:rPr>
        <w:t xml:space="preserve"> </w:t>
      </w:r>
      <w:r w:rsidRPr="00032B52">
        <w:rPr>
          <w:rFonts w:ascii="Times New Roman" w:hAnsi="Times New Roman" w:cs="Times New Roman"/>
        </w:rPr>
        <w:t>Measured at 17:00 every three day</w:t>
      </w:r>
      <w:r>
        <w:rPr>
          <w:rFonts w:ascii="Times New Roman" w:hAnsi="Times New Roman" w:cs="Times New Roman"/>
        </w:rPr>
        <w:t>s</w:t>
      </w:r>
      <w:r w:rsidRPr="00032B52">
        <w:rPr>
          <w:rFonts w:ascii="Times New Roman" w:hAnsi="Times New Roman" w:cs="Times New Roman"/>
        </w:rPr>
        <w:t>, the watering day, but before watering dur</w:t>
      </w:r>
      <w:r>
        <w:rPr>
          <w:rFonts w:ascii="Times New Roman" w:hAnsi="Times New Roman" w:cs="Times New Roman"/>
        </w:rPr>
        <w:t xml:space="preserve">ing a consecutive 10-day period. </w:t>
      </w:r>
      <w:r w:rsidRPr="009B0CDD">
        <w:rPr>
          <w:rFonts w:ascii="Times New Roman" w:hAnsi="Times New Roman" w:cs="Times New Roman"/>
          <w:bCs/>
          <w:color w:val="000000" w:themeColor="text1"/>
          <w:kern w:val="24"/>
          <w:szCs w:val="21"/>
        </w:rPr>
        <w:t>W</w:t>
      </w:r>
      <w:r w:rsidRPr="009B0CDD">
        <w:rPr>
          <w:rFonts w:ascii="Times New Roman" w:hAnsi="Times New Roman" w:cs="Times New Roman"/>
          <w:bCs/>
          <w:color w:val="000000" w:themeColor="text1"/>
          <w:kern w:val="24"/>
          <w:szCs w:val="21"/>
          <w:vertAlign w:val="subscript"/>
        </w:rPr>
        <w:t>-60</w:t>
      </w:r>
      <w:r w:rsidRPr="009B0CDD">
        <w:rPr>
          <w:rFonts w:ascii="Times New Roman" w:hAnsi="Times New Roman" w:cs="Times New Roman"/>
          <w:bCs/>
          <w:color w:val="000000" w:themeColor="text1"/>
          <w:kern w:val="24"/>
          <w:szCs w:val="21"/>
        </w:rPr>
        <w:t>, W</w:t>
      </w:r>
      <w:r w:rsidRPr="009B0CDD">
        <w:rPr>
          <w:rFonts w:ascii="Times New Roman" w:hAnsi="Times New Roman" w:cs="Times New Roman"/>
          <w:bCs/>
          <w:color w:val="000000" w:themeColor="text1"/>
          <w:kern w:val="24"/>
          <w:szCs w:val="21"/>
          <w:vertAlign w:val="subscript"/>
        </w:rPr>
        <w:t>-30</w:t>
      </w:r>
      <w:r w:rsidRPr="009B0CDD">
        <w:rPr>
          <w:rFonts w:ascii="Times New Roman" w:hAnsi="Times New Roman" w:cs="Times New Roman"/>
          <w:bCs/>
          <w:color w:val="000000" w:themeColor="text1"/>
          <w:kern w:val="24"/>
          <w:szCs w:val="21"/>
        </w:rPr>
        <w:t>, W</w:t>
      </w:r>
      <w:r w:rsidRPr="009B0CDD">
        <w:rPr>
          <w:rFonts w:ascii="Times New Roman" w:hAnsi="Times New Roman" w:cs="Times New Roman"/>
          <w:bCs/>
          <w:color w:val="000000" w:themeColor="text1"/>
          <w:kern w:val="24"/>
          <w:szCs w:val="21"/>
          <w:vertAlign w:val="subscript"/>
        </w:rPr>
        <w:t>-15</w:t>
      </w:r>
      <w:r w:rsidRPr="009B0CDD">
        <w:rPr>
          <w:rFonts w:ascii="Times New Roman" w:hAnsi="Times New Roman" w:cs="Times New Roman"/>
          <w:bCs/>
          <w:color w:val="000000" w:themeColor="text1"/>
          <w:kern w:val="24"/>
          <w:szCs w:val="21"/>
        </w:rPr>
        <w:t>, W</w:t>
      </w:r>
      <w:r w:rsidRPr="009B0CDD">
        <w:rPr>
          <w:rFonts w:ascii="Times New Roman" w:hAnsi="Times New Roman" w:cs="Times New Roman"/>
          <w:bCs/>
          <w:color w:val="000000" w:themeColor="text1"/>
          <w:kern w:val="24"/>
          <w:szCs w:val="21"/>
          <w:vertAlign w:val="subscript"/>
        </w:rPr>
        <w:t>0</w:t>
      </w:r>
      <w:r w:rsidRPr="009B0CDD">
        <w:rPr>
          <w:rFonts w:ascii="Times New Roman" w:hAnsi="Times New Roman" w:cs="Times New Roman"/>
          <w:bCs/>
          <w:color w:val="000000" w:themeColor="text1"/>
          <w:kern w:val="24"/>
          <w:szCs w:val="21"/>
        </w:rPr>
        <w:t>, W</w:t>
      </w:r>
      <w:r w:rsidRPr="009B0CDD">
        <w:rPr>
          <w:rFonts w:ascii="Times New Roman" w:hAnsi="Times New Roman" w:cs="Times New Roman"/>
          <w:bCs/>
          <w:color w:val="000000" w:themeColor="text1"/>
          <w:kern w:val="24"/>
          <w:szCs w:val="21"/>
          <w:vertAlign w:val="subscript"/>
        </w:rPr>
        <w:t>15</w:t>
      </w:r>
      <w:r w:rsidRPr="009B0CDD">
        <w:rPr>
          <w:rFonts w:ascii="Times New Roman" w:hAnsi="Times New Roman" w:cs="Times New Roman"/>
          <w:bCs/>
          <w:color w:val="000000" w:themeColor="text1"/>
          <w:kern w:val="24"/>
          <w:szCs w:val="21"/>
        </w:rPr>
        <w:t>, W</w:t>
      </w:r>
      <w:r w:rsidRPr="009B0CDD">
        <w:rPr>
          <w:rFonts w:ascii="Times New Roman" w:hAnsi="Times New Roman" w:cs="Times New Roman"/>
          <w:bCs/>
          <w:color w:val="000000" w:themeColor="text1"/>
          <w:kern w:val="24"/>
          <w:szCs w:val="21"/>
          <w:vertAlign w:val="subscript"/>
        </w:rPr>
        <w:t>30</w:t>
      </w:r>
      <w:r w:rsidRPr="009B0CDD">
        <w:rPr>
          <w:rFonts w:ascii="Times New Roman" w:hAnsi="Times New Roman" w:cs="Times New Roman"/>
          <w:bCs/>
          <w:color w:val="000000" w:themeColor="text1"/>
          <w:kern w:val="24"/>
          <w:szCs w:val="21"/>
        </w:rPr>
        <w:t>, and W</w:t>
      </w:r>
      <w:r w:rsidRPr="009B0CDD">
        <w:rPr>
          <w:rFonts w:ascii="Times New Roman" w:hAnsi="Times New Roman" w:cs="Times New Roman"/>
          <w:bCs/>
          <w:color w:val="000000" w:themeColor="text1"/>
          <w:kern w:val="24"/>
          <w:szCs w:val="21"/>
          <w:vertAlign w:val="subscript"/>
        </w:rPr>
        <w:t xml:space="preserve">60 </w:t>
      </w:r>
      <w:r w:rsidRPr="009B0CDD">
        <w:rPr>
          <w:rFonts w:ascii="Times New Roman" w:hAnsi="Times New Roman" w:cs="Times New Roman"/>
          <w:bCs/>
          <w:color w:val="000000" w:themeColor="text1"/>
          <w:kern w:val="24"/>
          <w:szCs w:val="21"/>
        </w:rPr>
        <w:t xml:space="preserve">represent </w:t>
      </w:r>
      <w:r w:rsidRPr="009B0CDD">
        <w:rPr>
          <w:rFonts w:ascii="Times New Roman" w:hAnsi="Times New Roman" w:cs="Times New Roman"/>
          <w:szCs w:val="21"/>
          <w:lang w:val="en-GB"/>
        </w:rPr>
        <w:t>-60%</w:t>
      </w:r>
      <w:r w:rsidRPr="009B0CDD">
        <w:rPr>
          <w:rFonts w:ascii="Times New Roman" w:hAnsi="Times New Roman" w:cs="Times New Roman"/>
          <w:szCs w:val="21"/>
        </w:rPr>
        <w:t xml:space="preserve">, </w:t>
      </w:r>
      <w:r w:rsidRPr="009B0CDD">
        <w:rPr>
          <w:rFonts w:ascii="Times New Roman" w:hAnsi="Times New Roman" w:cs="Times New Roman"/>
          <w:szCs w:val="21"/>
          <w:lang w:val="en-GB"/>
        </w:rPr>
        <w:t>-30%</w:t>
      </w:r>
      <w:r w:rsidRPr="009B0CDD">
        <w:rPr>
          <w:rFonts w:ascii="Times New Roman" w:hAnsi="Times New Roman" w:cs="Times New Roman"/>
          <w:szCs w:val="21"/>
        </w:rPr>
        <w:t xml:space="preserve">, </w:t>
      </w:r>
      <w:r w:rsidRPr="009B0CDD">
        <w:rPr>
          <w:rFonts w:ascii="Times New Roman" w:hAnsi="Times New Roman" w:cs="Times New Roman"/>
          <w:szCs w:val="21"/>
          <w:lang w:val="en-GB"/>
        </w:rPr>
        <w:t>-15%</w:t>
      </w:r>
      <w:r w:rsidRPr="009B0CDD">
        <w:rPr>
          <w:rFonts w:ascii="Times New Roman" w:hAnsi="Times New Roman" w:cs="Times New Roman"/>
          <w:szCs w:val="21"/>
        </w:rPr>
        <w:t>, 0, 15%, 30%, and 60% of watering</w:t>
      </w:r>
      <w:r w:rsidRPr="009B0CDD">
        <w:rPr>
          <w:rFonts w:ascii="Times New Roman" w:hAnsi="Times New Roman" w:cs="Times New Roman"/>
          <w:szCs w:val="21"/>
          <w:lang w:val="en-GB"/>
        </w:rPr>
        <w:t xml:space="preserve"> relative to mean precipitation in the local site over 30 years.</w:t>
      </w:r>
      <w:r w:rsidRPr="00145E7E">
        <w:rPr>
          <w:rFonts w:ascii="Times New Roman" w:hAnsi="Times New Roman" w:cs="Times New Roman"/>
        </w:rPr>
        <w:t xml:space="preserve"> </w:t>
      </w:r>
      <w:r w:rsidRPr="00D3517D">
        <w:rPr>
          <w:rFonts w:ascii="Times New Roman" w:hAnsi="Times New Roman" w:cs="Times New Roman"/>
        </w:rPr>
        <w:t>Vertical bars denote SE of the mean (n= 3-4).</w:t>
      </w:r>
      <w:r>
        <w:rPr>
          <w:rFonts w:ascii="Times New Roman" w:hAnsi="Times New Roman" w:cs="Times New Roman"/>
        </w:rPr>
        <w:t xml:space="preserve"> GLM ANOVA refers to Table S1.</w:t>
      </w:r>
      <w:r w:rsidR="0011102C">
        <w:rPr>
          <w:rFonts w:ascii="Times New Roman" w:hAnsi="Times New Roman" w:cs="Times New Roman"/>
        </w:rPr>
        <w:t xml:space="preserve"> </w:t>
      </w:r>
    </w:p>
    <w:p w:rsidR="002C4778" w:rsidRPr="0095073B" w:rsidRDefault="00182B82" w:rsidP="002C4778">
      <w:pPr>
        <w:rPr>
          <w:rFonts w:ascii="Times New Roman" w:hAnsi="Times New Roman" w:cs="Times New Roman"/>
        </w:rPr>
      </w:pPr>
      <w:r w:rsidRPr="009E28A6">
        <w:rPr>
          <w:noProof/>
        </w:rPr>
        <w:drawing>
          <wp:inline distT="0" distB="0" distL="0" distR="0" wp14:anchorId="373F41C5" wp14:editId="10CAF9A3">
            <wp:extent cx="4899600" cy="68652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9600" cy="686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09F6" w:rsidRDefault="003809F6">
      <w:bookmarkStart w:id="0" w:name="_GoBack"/>
      <w:bookmarkEnd w:id="0"/>
    </w:p>
    <w:sectPr w:rsidR="003809F6" w:rsidSect="00667E47">
      <w:footerReference w:type="default" r:id="rId7"/>
      <w:pgSz w:w="11906" w:h="16838"/>
      <w:pgMar w:top="1440" w:right="1418" w:bottom="1440" w:left="1418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14B4" w:rsidRDefault="000114B4" w:rsidP="00CB32B9">
      <w:r>
        <w:separator/>
      </w:r>
    </w:p>
  </w:endnote>
  <w:endnote w:type="continuationSeparator" w:id="0">
    <w:p w:rsidR="000114B4" w:rsidRDefault="000114B4" w:rsidP="00CB32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07987269"/>
      <w:docPartObj>
        <w:docPartGallery w:val="Page Numbers (Bottom of Page)"/>
        <w:docPartUnique/>
      </w:docPartObj>
    </w:sdtPr>
    <w:sdtEndPr/>
    <w:sdtContent>
      <w:p w:rsidR="00995055" w:rsidRDefault="00995055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4EB6" w:rsidRPr="000B4EB6">
          <w:rPr>
            <w:noProof/>
            <w:lang w:val="zh-CN"/>
          </w:rPr>
          <w:t>1</w:t>
        </w:r>
        <w:r>
          <w:fldChar w:fldCharType="end"/>
        </w:r>
      </w:p>
    </w:sdtContent>
  </w:sdt>
  <w:p w:rsidR="00995055" w:rsidRDefault="00995055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14B4" w:rsidRDefault="000114B4" w:rsidP="00CB32B9">
      <w:r>
        <w:separator/>
      </w:r>
    </w:p>
  </w:footnote>
  <w:footnote w:type="continuationSeparator" w:id="0">
    <w:p w:rsidR="000114B4" w:rsidRDefault="000114B4" w:rsidP="00CB32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778"/>
    <w:rsid w:val="000114B4"/>
    <w:rsid w:val="000B4EB6"/>
    <w:rsid w:val="0011102C"/>
    <w:rsid w:val="00182B82"/>
    <w:rsid w:val="00223F44"/>
    <w:rsid w:val="00256BE5"/>
    <w:rsid w:val="002C4778"/>
    <w:rsid w:val="00323FB6"/>
    <w:rsid w:val="003809F6"/>
    <w:rsid w:val="003B036E"/>
    <w:rsid w:val="0041436B"/>
    <w:rsid w:val="0046339F"/>
    <w:rsid w:val="0052559C"/>
    <w:rsid w:val="005F1B8E"/>
    <w:rsid w:val="006506CF"/>
    <w:rsid w:val="00657E04"/>
    <w:rsid w:val="00661C05"/>
    <w:rsid w:val="00667E47"/>
    <w:rsid w:val="006F72AE"/>
    <w:rsid w:val="007739E1"/>
    <w:rsid w:val="00775691"/>
    <w:rsid w:val="00976013"/>
    <w:rsid w:val="009855CF"/>
    <w:rsid w:val="00995055"/>
    <w:rsid w:val="00A012A6"/>
    <w:rsid w:val="00A5421A"/>
    <w:rsid w:val="00AE023B"/>
    <w:rsid w:val="00AF6F7D"/>
    <w:rsid w:val="00B553BD"/>
    <w:rsid w:val="00C506A7"/>
    <w:rsid w:val="00CB32B9"/>
    <w:rsid w:val="00CE2556"/>
    <w:rsid w:val="00CF66DF"/>
    <w:rsid w:val="00D11452"/>
    <w:rsid w:val="00DE2F3C"/>
    <w:rsid w:val="00EF0726"/>
    <w:rsid w:val="00F81CDC"/>
    <w:rsid w:val="00F85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DBF4AA1-ABFD-4E5A-8FA0-B0B2F1A6F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477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C47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C477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C47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C4778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2C477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pple-converted-space">
    <w:name w:val="apple-converted-space"/>
    <w:basedOn w:val="a0"/>
    <w:rsid w:val="002C4778"/>
  </w:style>
  <w:style w:type="character" w:styleId="a6">
    <w:name w:val="annotation reference"/>
    <w:basedOn w:val="a0"/>
    <w:uiPriority w:val="99"/>
    <w:semiHidden/>
    <w:unhideWhenUsed/>
    <w:rsid w:val="002C4778"/>
    <w:rPr>
      <w:sz w:val="21"/>
      <w:szCs w:val="21"/>
    </w:rPr>
  </w:style>
  <w:style w:type="paragraph" w:styleId="a7">
    <w:name w:val="annotation text"/>
    <w:basedOn w:val="a"/>
    <w:link w:val="Char1"/>
    <w:uiPriority w:val="99"/>
    <w:semiHidden/>
    <w:unhideWhenUsed/>
    <w:rsid w:val="002C4778"/>
    <w:pPr>
      <w:jc w:val="left"/>
    </w:pPr>
  </w:style>
  <w:style w:type="character" w:customStyle="1" w:styleId="Char1">
    <w:name w:val="批注文字 Char"/>
    <w:basedOn w:val="a0"/>
    <w:link w:val="a7"/>
    <w:uiPriority w:val="99"/>
    <w:semiHidden/>
    <w:rsid w:val="002C4778"/>
  </w:style>
  <w:style w:type="paragraph" w:styleId="a8">
    <w:name w:val="Balloon Text"/>
    <w:basedOn w:val="a"/>
    <w:link w:val="Char2"/>
    <w:uiPriority w:val="99"/>
    <w:semiHidden/>
    <w:unhideWhenUsed/>
    <w:rsid w:val="002C4778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2C4778"/>
    <w:rPr>
      <w:sz w:val="18"/>
      <w:szCs w:val="18"/>
    </w:rPr>
  </w:style>
  <w:style w:type="character" w:styleId="a9">
    <w:name w:val="line number"/>
    <w:basedOn w:val="a0"/>
    <w:uiPriority w:val="99"/>
    <w:semiHidden/>
    <w:unhideWhenUsed/>
    <w:rsid w:val="002C4778"/>
  </w:style>
  <w:style w:type="character" w:customStyle="1" w:styleId="trans">
    <w:name w:val="trans"/>
    <w:basedOn w:val="a0"/>
    <w:rsid w:val="002C47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75</Words>
  <Characters>434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unknown</cp:lastModifiedBy>
  <cp:revision>9</cp:revision>
  <dcterms:created xsi:type="dcterms:W3CDTF">2016-05-11T04:04:00Z</dcterms:created>
  <dcterms:modified xsi:type="dcterms:W3CDTF">2016-06-25T13:17:00Z</dcterms:modified>
</cp:coreProperties>
</file>