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ACD" w:rsidRDefault="00D35ACD" w:rsidP="00D35ACD">
      <w:pPr>
        <w:autoSpaceDE w:val="0"/>
        <w:autoSpaceDN w:val="0"/>
        <w:adjustRightInd w:val="0"/>
        <w:spacing w:after="0" w:line="240" w:lineRule="auto"/>
        <w:rPr>
          <w:rFonts w:ascii="Times New Roman" w:eastAsia="PalatinoLinotype-Roman" w:hAnsi="Times New Roman" w:cs="Times New Roman"/>
          <w:color w:val="000000"/>
          <w:sz w:val="20"/>
          <w:szCs w:val="20"/>
        </w:rPr>
      </w:pPr>
      <w:proofErr w:type="gramStart"/>
      <w:r>
        <w:rPr>
          <w:rFonts w:ascii="Times New Roman" w:eastAsia="PalatinoLinotype-Roman" w:hAnsi="Times New Roman" w:cs="Times New Roman"/>
          <w:color w:val="000000"/>
          <w:sz w:val="20"/>
          <w:szCs w:val="20"/>
        </w:rPr>
        <w:t>Supplementary Table 1.</w:t>
      </w:r>
      <w:proofErr w:type="gramEnd"/>
      <w:r>
        <w:rPr>
          <w:rFonts w:ascii="Times New Roman" w:eastAsia="PalatinoLinotype-Roman" w:hAnsi="Times New Roman" w:cs="Times New Roman"/>
          <w:color w:val="000000"/>
          <w:sz w:val="20"/>
          <w:szCs w:val="20"/>
        </w:rPr>
        <w:t xml:space="preserve"> All single- and multi-environment QTL (LOD &gt;2.5)</w:t>
      </w:r>
    </w:p>
    <w:p w:rsidR="00D35ACD" w:rsidRDefault="00D35ACD" w:rsidP="00D35ACD">
      <w:pPr>
        <w:autoSpaceDE w:val="0"/>
        <w:autoSpaceDN w:val="0"/>
        <w:adjustRightInd w:val="0"/>
        <w:spacing w:after="0" w:line="240" w:lineRule="auto"/>
        <w:rPr>
          <w:rFonts w:ascii="Times New Roman" w:eastAsia="PalatinoLinotype-Roman" w:hAnsi="Times New Roman" w:cs="Times New Roman"/>
          <w:color w:val="000000"/>
          <w:sz w:val="20"/>
          <w:szCs w:val="20"/>
        </w:rPr>
      </w:pPr>
    </w:p>
    <w:p w:rsidR="00D35ACD" w:rsidRPr="008E757F" w:rsidRDefault="00D35ACD" w:rsidP="00D35ACD">
      <w:pPr>
        <w:autoSpaceDE w:val="0"/>
        <w:autoSpaceDN w:val="0"/>
        <w:adjustRightInd w:val="0"/>
        <w:spacing w:after="0" w:line="240" w:lineRule="auto"/>
        <w:rPr>
          <w:rFonts w:ascii="Times New Roman" w:eastAsia="PalatinoLinotype-Roman" w:hAnsi="Times New Roman" w:cs="Times New Roman"/>
          <w:color w:val="000000"/>
          <w:sz w:val="20"/>
          <w:szCs w:val="20"/>
        </w:rPr>
      </w:pPr>
      <w:r>
        <w:rPr>
          <w:rFonts w:ascii="Times New Roman" w:eastAsia="PalatinoLinotype-Roman" w:hAnsi="Times New Roman" w:cs="Times New Roman"/>
          <w:color w:val="000000"/>
          <w:sz w:val="20"/>
          <w:szCs w:val="20"/>
        </w:rPr>
        <w:t>A) TC Population</w:t>
      </w:r>
    </w:p>
    <w:tbl>
      <w:tblPr>
        <w:tblW w:w="7963" w:type="dxa"/>
        <w:tblInd w:w="93" w:type="dxa"/>
        <w:tblLook w:val="04A0" w:firstRow="1" w:lastRow="0" w:firstColumn="1" w:lastColumn="0" w:noHBand="0" w:noVBand="1"/>
      </w:tblPr>
      <w:tblGrid>
        <w:gridCol w:w="820"/>
        <w:gridCol w:w="745"/>
        <w:gridCol w:w="860"/>
        <w:gridCol w:w="1985"/>
        <w:gridCol w:w="576"/>
        <w:gridCol w:w="618"/>
        <w:gridCol w:w="600"/>
        <w:gridCol w:w="600"/>
        <w:gridCol w:w="600"/>
        <w:gridCol w:w="600"/>
      </w:tblGrid>
      <w:tr w:rsidR="00D35ACD" w:rsidRPr="00157AB2" w:rsidTr="0039322C">
        <w:trPr>
          <w:trHeight w:val="30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Trait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157AB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Chrom</w:t>
            </w:r>
            <w:proofErr w:type="spellEnd"/>
            <w:r w:rsidRPr="00157AB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.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 xml:space="preserve">Peak </w:t>
            </w:r>
            <w:proofErr w:type="spellStart"/>
            <w:r w:rsidRPr="00157AB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cM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Peak Interval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LOD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proofErr w:type="gramStart"/>
            <w:r w:rsidRPr="00157AB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σ²(</w:t>
            </w:r>
            <w:proofErr w:type="gramEnd"/>
            <w:r w:rsidRPr="00157AB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%)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Add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CA"/>
              </w:rPr>
              <w:t>σ²</w:t>
            </w:r>
            <w:r w:rsidRPr="00157AB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vertAlign w:val="subscript"/>
                <w:lang w:eastAsia="en-CA"/>
              </w:rPr>
              <w:t>A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CA"/>
              </w:rPr>
              <w:t>σ²</w:t>
            </w:r>
            <w:r w:rsidRPr="00157AB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vertAlign w:val="subscript"/>
                <w:lang w:eastAsia="en-CA"/>
              </w:rPr>
              <w:t>E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157AB2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  <w:lang w:eastAsia="en-CA"/>
              </w:rPr>
              <w:t>h</w:t>
            </w:r>
            <w:r w:rsidRPr="00157AB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vertAlign w:val="superscript"/>
                <w:lang w:eastAsia="en-CA"/>
              </w:rPr>
              <w:t>2</w:t>
            </w: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MET S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A01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58.5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sR9564-sN11665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6.38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2.64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2.41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1.88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0.76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0.71</w:t>
            </w: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W09 S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A01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59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sN11665-sN12790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5.20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8.32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4.61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H09 S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A01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69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sR8420-sN4638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17.20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15.84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7.80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W10 S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A01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69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sR8420-sN4638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24.25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29.90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9.31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W10 II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A01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69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sR8420-sN4638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9.08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11.52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4.90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MET II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A01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69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sR8420-sN4638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34.85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20.55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6.53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12.06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8.49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0.59</w:t>
            </w: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MET S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A01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69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sR8420-sN4638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41.47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15.84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5.79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10.80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5.04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0.68</w:t>
            </w: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H09 II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A01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69.5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sN4638-sN12176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25.71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31.77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14.01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H09 S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A01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111.5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brPb-662007-sN3523R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7.34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6.17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4.87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MET S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A01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111.5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brPb-662007-sN3523R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7.35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2.53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1.56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0.78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1.75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0.31</w:t>
            </w: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CotQTL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A07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73.5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CA"/>
              </w:rPr>
              <w:t>Rlm3-sR12829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72.89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55.71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20.46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W10 II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A08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15.5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sN12264a-sNRF19a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2.84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3.40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2.67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H09 S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A08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39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sN4513Fa-sNRG04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8.96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7.63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5.49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W09 S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A08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39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sN4513Fa-sNRG04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4.45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7.05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4.32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MET S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A08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39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sN4513Fa-sNRG04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13.59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5.13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3.51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3.85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1.28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0.75</w:t>
            </w: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H09 II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A08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41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sNRG04-sNRB88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7.42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7.85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7.08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MET II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A08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41.5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sNRG04-sNRB88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10.29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5.26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3.39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3.16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2.10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0.60</w:t>
            </w: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W09 II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A08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43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sNRB88-sN12352a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3.00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4.97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3.48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W10 S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A08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46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sNRB88-sN12352a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8.34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9.08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5.19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W10 II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A08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54.5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sR11332-sN0202a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4.07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4.97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3.22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MET II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A08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54.5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sR11332-sN0202a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4.13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0.99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1.32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0.49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0.49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0.50</w:t>
            </w: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W09 II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114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sORH62-sR12228a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2.66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4.44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3.24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W10 II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C03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61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sR12057b-sN11587a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3.84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4.66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-3.14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MET II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C03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61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sR12057b-sN11587a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6.40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2.18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-2.69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2.01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0.17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0.92</w:t>
            </w: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MET S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C03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65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sR12057b-sN11587a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6.33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2.16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-2.53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2.02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0.14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0.93</w:t>
            </w: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H09 S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C03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71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sR12057b-sN11587a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4.31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4.40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-4.17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MET S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C04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36.5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brPb-663380-sN11672a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4.79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1.58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-2.12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1.42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0.16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0.90</w:t>
            </w: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H09 S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C04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37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brPb-663380-sN11672a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2.95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2.70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-3.26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MET II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C04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43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sN11672a-sR12610b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7.69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2.74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-3.04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2.53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0.20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0.93</w:t>
            </w: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W10 II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C04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44.5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sN11672a-sR12610b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4.40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5.74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-3.50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H09 II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C05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91.5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sN12804-brPb-660192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3.74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3.69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4.77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MET II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C05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91.5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sN12804-brPb-660192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8.86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3.42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3.19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2.89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0.54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0.84</w:t>
            </w: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W10 II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C05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93.5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sN12804-brPb-660192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4.65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6.31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3.62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W09 S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C05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129.5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sORE94x-sR9555b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2.75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4.27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3.30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W09 II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C06b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21.5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brPb-841625-brPb-841355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3.04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5.17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3.50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H09 S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C06b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40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brPb-841355-sN12461Ix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14.59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14.08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7.42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CotQTL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C06b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40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brPb-841355-sN12461Ix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4.71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9.26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7.25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MET S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C06b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42.5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brPb-841355-sN12461Ix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25.99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9.22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5.06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8.12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1.10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0.88</w:t>
            </w: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lastRenderedPageBreak/>
              <w:t>W10 II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C06b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44.5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brPb-841355-sN12461Ix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5.88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7.35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3.94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H09 II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C06b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45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brPb-841355-sN12461Ix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10.44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11.07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8.34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W10 S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C06b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45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brPb-841355-sN12461Ix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10.00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10.83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5.65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MET II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C06b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45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brPb-841355-sN12461Ix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16.44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7.83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4.30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5.14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2.70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0.66</w:t>
            </w: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proofErr w:type="spellStart"/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CotQTL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C07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81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sS2485-sN12508Ia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2.65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1.38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2.77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H09 S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C07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sN11863a-sR12127a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3.09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2.48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3.08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</w:tbl>
    <w:p w:rsidR="00D35ACD" w:rsidRDefault="00D35ACD" w:rsidP="00D35ACD">
      <w:pPr>
        <w:autoSpaceDE w:val="0"/>
        <w:autoSpaceDN w:val="0"/>
        <w:adjustRightInd w:val="0"/>
        <w:spacing w:after="0" w:line="240" w:lineRule="auto"/>
        <w:rPr>
          <w:rFonts w:ascii="Times New Roman" w:eastAsia="PalatinoLinotype-Roman" w:hAnsi="Times New Roman" w:cs="Times New Roman"/>
          <w:color w:val="000000"/>
          <w:sz w:val="20"/>
          <w:szCs w:val="20"/>
        </w:rPr>
      </w:pPr>
    </w:p>
    <w:p w:rsidR="00D35ACD" w:rsidRDefault="00D35ACD" w:rsidP="00D35ACD">
      <w:pPr>
        <w:autoSpaceDE w:val="0"/>
        <w:autoSpaceDN w:val="0"/>
        <w:adjustRightInd w:val="0"/>
        <w:spacing w:after="0" w:line="240" w:lineRule="auto"/>
        <w:rPr>
          <w:rFonts w:ascii="Times New Roman" w:eastAsia="PalatinoLinotype-Roman" w:hAnsi="Times New Roman" w:cs="Times New Roman"/>
          <w:color w:val="000000"/>
          <w:sz w:val="20"/>
          <w:szCs w:val="20"/>
        </w:rPr>
      </w:pPr>
    </w:p>
    <w:p w:rsidR="00D35ACD" w:rsidRDefault="00D35ACD" w:rsidP="00D35ACD">
      <w:pPr>
        <w:autoSpaceDE w:val="0"/>
        <w:autoSpaceDN w:val="0"/>
        <w:adjustRightInd w:val="0"/>
        <w:spacing w:after="0" w:line="240" w:lineRule="auto"/>
        <w:rPr>
          <w:rFonts w:ascii="Times New Roman" w:eastAsia="PalatinoLinotype-Roman" w:hAnsi="Times New Roman" w:cs="Times New Roman"/>
          <w:color w:val="000000"/>
          <w:sz w:val="20"/>
          <w:szCs w:val="20"/>
        </w:rPr>
      </w:pPr>
      <w:r>
        <w:rPr>
          <w:rFonts w:ascii="Times New Roman" w:eastAsia="PalatinoLinotype-Roman" w:hAnsi="Times New Roman" w:cs="Times New Roman"/>
          <w:color w:val="000000"/>
          <w:sz w:val="20"/>
          <w:szCs w:val="20"/>
        </w:rPr>
        <w:t>B) TS Population</w:t>
      </w:r>
    </w:p>
    <w:tbl>
      <w:tblPr>
        <w:tblW w:w="7963" w:type="dxa"/>
        <w:tblInd w:w="93" w:type="dxa"/>
        <w:tblLook w:val="04A0" w:firstRow="1" w:lastRow="0" w:firstColumn="1" w:lastColumn="0" w:noHBand="0" w:noVBand="1"/>
      </w:tblPr>
      <w:tblGrid>
        <w:gridCol w:w="820"/>
        <w:gridCol w:w="745"/>
        <w:gridCol w:w="860"/>
        <w:gridCol w:w="1985"/>
        <w:gridCol w:w="576"/>
        <w:gridCol w:w="618"/>
        <w:gridCol w:w="600"/>
        <w:gridCol w:w="600"/>
        <w:gridCol w:w="600"/>
        <w:gridCol w:w="600"/>
      </w:tblGrid>
      <w:tr w:rsidR="00D35ACD" w:rsidRPr="00157AB2" w:rsidTr="0039322C">
        <w:trPr>
          <w:trHeight w:val="30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Trait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157AB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Chrom</w:t>
            </w:r>
            <w:proofErr w:type="spellEnd"/>
            <w:r w:rsidRPr="00157AB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.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 xml:space="preserve">Peak </w:t>
            </w:r>
            <w:proofErr w:type="spellStart"/>
            <w:r w:rsidRPr="00157AB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cM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Peak Interval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LOD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proofErr w:type="gramStart"/>
            <w:r w:rsidRPr="00157AB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σ²(</w:t>
            </w:r>
            <w:proofErr w:type="gramEnd"/>
            <w:r w:rsidRPr="00157AB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%)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  <w:t>Add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CA"/>
              </w:rPr>
              <w:t>σ²</w:t>
            </w:r>
            <w:r w:rsidRPr="00157AB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vertAlign w:val="subscript"/>
                <w:lang w:eastAsia="en-CA"/>
              </w:rPr>
              <w:t>A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CA"/>
              </w:rPr>
              <w:t>σ²</w:t>
            </w:r>
            <w:r w:rsidRPr="00157AB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vertAlign w:val="subscript"/>
                <w:lang w:eastAsia="en-CA"/>
              </w:rPr>
              <w:t>E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157AB2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  <w:lang w:eastAsia="en-CA"/>
              </w:rPr>
              <w:t>h</w:t>
            </w:r>
            <w:r w:rsidRPr="00157AB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vertAlign w:val="superscript"/>
                <w:lang w:eastAsia="en-CA"/>
              </w:rPr>
              <w:t>2</w:t>
            </w: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W09 S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A01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24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sR9481a-sR1377b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2.58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11.60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6.69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H12 S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A01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36.5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sR6202b-sR9555x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4.39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10.10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5.33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MET S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A01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36.5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sR6202b-sR9555x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13.17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10.07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5.04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8.71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1.36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0.86</w:t>
            </w: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W11 II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A01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37.5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sR6202b-sR9555x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3.44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11.07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4.39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W11 S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A01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39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sR6202b-sR9555x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6.35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18.47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8.21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H12 II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A01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39.5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sR9555x-sN12176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3.37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9.00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4.08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MET II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A01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40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sR9555x-sN12176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7.83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5.02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4.20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4.74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0.28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0.94</w:t>
            </w: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MET II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A02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sS2372a-sN3761b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3.19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2.81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0.21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0.01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2.80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0.00</w:t>
            </w: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MET S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A03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22.5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sR12015a-sN12574b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6.18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4.73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-3.29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3.69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1.04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0.78</w:t>
            </w: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W11 S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A03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23.5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sR12015a-sN12574b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3.96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11.14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-6.37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W11 II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A03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66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sN6689b-sORE01b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4.44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14.04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-4.93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MET II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A03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66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sN6689b-sORE01b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7.01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4.23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-3.50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3.31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0.92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0.78</w:t>
            </w: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H12 II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A03b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sR12137Ib-sN4034a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3.61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9.72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-4.25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H12 S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A03b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sR12137Ib-sN4034a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3.32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8.45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-4.90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MET S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A03b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sR12137Ib-sN4034a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5.65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3.86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-2.87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2.80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1.06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0.72</w:t>
            </w: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MET II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A03b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sR12137Ib-sN4034a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5.18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2.52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-2.86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2.17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0.35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0.86</w:t>
            </w: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proofErr w:type="spellStart"/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CotQTL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A07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29.5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sN0658-sN2433a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4.15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3.75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5.33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CotQTL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A07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56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sN2555Ra-</w:t>
            </w:r>
            <w:r w:rsidRPr="00157AB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CA"/>
              </w:rPr>
              <w:t>Rlm4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30.80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48.92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19.16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proofErr w:type="spellStart"/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CotQTL</w:t>
            </w:r>
            <w:proofErr w:type="spellEnd"/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A07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72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sN9539a-sR0293a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3.87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3.40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5.26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W11 S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A08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40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sN12352a-sORD13x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2.69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7.11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5.30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MET S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A08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40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sN12352a-sORD13x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3.32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2.84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0.91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0.26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2.58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0.09</w:t>
            </w: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W11 II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A09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sR6410-sR9373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5.35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16.38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5.41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H12 II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A09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sR6410-sR9373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3.05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8.12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3.92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W09 S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A09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sR6410-sR9373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2.83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11.50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6.79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W11 S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A09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sR6410-sR9373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5.34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15.00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7.48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MET S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A09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sR6410-sR9373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10.41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9.18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4.67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7.33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1.86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0.80</w:t>
            </w: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W09 II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A09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8.5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sR6410-sR9373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2.89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11.83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6.68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MET II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A09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9.5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sR6410-sR9373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13.97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9.66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5.88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9.10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0.56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0.94</w:t>
            </w: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H08 II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A09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25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sR9373-sR6966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3.43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12.31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9.82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H12 S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A09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27.5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sR9373-sR6966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3.41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9.47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5.19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MET S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A09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29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sR9373-sR6966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6.05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3.32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2.63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2.36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0.96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0.71</w:t>
            </w: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lastRenderedPageBreak/>
              <w:t>MET S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C01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sN11641b-sR12341a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4.40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3.59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-2.95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2.99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0.61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0.83</w:t>
            </w: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MET S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C01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33.5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sR6762a-sNRA84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6.42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3.51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-3.13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3.32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0.19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0.95</w:t>
            </w: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MET II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C01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34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sNRA84-sR9228b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4.53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3.72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-3.40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3.09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0.63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0.83</w:t>
            </w: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H08 S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C01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34.5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sNRA84-sR9228b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3.90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12.90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-4.39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MET II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C01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53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sR6993Fa-sN9425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4.10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2.96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-2.95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2.36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0.60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0.80</w:t>
            </w: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MET S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C01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90.5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sN3749a-sR0686b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3.08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1.54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-1.59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0.86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0.68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0.56</w:t>
            </w: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MET II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C01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91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sN3749a-sR0686b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4.81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3.45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-3.07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2.51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0.94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0.73</w:t>
            </w: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MET II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C04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sORD34-sN8093Ia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3.42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en-CA"/>
              </w:rPr>
              <w:t>3.58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2.91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2.27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1.31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0.63</w:t>
            </w: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H08 II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C06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52.5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sS2486a-sR12387a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4.79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19.31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12.24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H12 S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C06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54.5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sS2486a-sR12387a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6.91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22.18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7.88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H12 II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C06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56.5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sS2486a-sR12387a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4.55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13.63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5.00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MET II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C06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57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sS2486a-sR12387a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10.84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9.67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4.97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6.69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2.98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0.69</w:t>
            </w: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H08 S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C06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58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sS2486a-sR12387a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4.58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15.26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4.73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MET S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C06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58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sS2486a-sR12387a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14.65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9.34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5.04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8.76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0.58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0.94</w:t>
            </w:r>
          </w:p>
        </w:tc>
      </w:tr>
    </w:tbl>
    <w:p w:rsidR="00D35ACD" w:rsidRDefault="00D35ACD" w:rsidP="00D35ACD">
      <w:pPr>
        <w:autoSpaceDE w:val="0"/>
        <w:autoSpaceDN w:val="0"/>
        <w:adjustRightInd w:val="0"/>
        <w:spacing w:after="0" w:line="240" w:lineRule="auto"/>
        <w:rPr>
          <w:rFonts w:ascii="Times New Roman" w:eastAsia="PalatinoLinotype-Roman" w:hAnsi="Times New Roman" w:cs="Times New Roman"/>
          <w:color w:val="000000"/>
          <w:sz w:val="20"/>
          <w:szCs w:val="20"/>
        </w:rPr>
      </w:pPr>
    </w:p>
    <w:p w:rsidR="00D35ACD" w:rsidRDefault="00D35ACD" w:rsidP="00D35ACD">
      <w:pPr>
        <w:autoSpaceDE w:val="0"/>
        <w:autoSpaceDN w:val="0"/>
        <w:adjustRightInd w:val="0"/>
        <w:spacing w:after="0" w:line="240" w:lineRule="auto"/>
        <w:rPr>
          <w:rFonts w:ascii="Times New Roman" w:eastAsia="PalatinoLinotype-Roman" w:hAnsi="Times New Roman" w:cs="Times New Roman"/>
          <w:color w:val="000000"/>
          <w:sz w:val="20"/>
          <w:szCs w:val="20"/>
        </w:rPr>
      </w:pPr>
    </w:p>
    <w:p w:rsidR="00D35ACD" w:rsidRDefault="00D35ACD" w:rsidP="00D35ACD">
      <w:pPr>
        <w:autoSpaceDE w:val="0"/>
        <w:autoSpaceDN w:val="0"/>
        <w:adjustRightInd w:val="0"/>
        <w:spacing w:after="0" w:line="240" w:lineRule="auto"/>
        <w:rPr>
          <w:rFonts w:ascii="Times New Roman" w:eastAsia="PalatinoLinotype-Roman" w:hAnsi="Times New Roman" w:cs="Times New Roman"/>
          <w:color w:val="000000"/>
          <w:sz w:val="20"/>
          <w:szCs w:val="20"/>
        </w:rPr>
      </w:pPr>
      <w:r>
        <w:rPr>
          <w:rFonts w:ascii="Times New Roman" w:eastAsia="PalatinoLinotype-Roman" w:hAnsi="Times New Roman" w:cs="Times New Roman"/>
          <w:color w:val="000000"/>
          <w:sz w:val="20"/>
          <w:szCs w:val="20"/>
        </w:rPr>
        <w:t>C) LOD significance thresholds determined by permutation tests</w:t>
      </w:r>
    </w:p>
    <w:tbl>
      <w:tblPr>
        <w:tblW w:w="2880" w:type="dxa"/>
        <w:tblInd w:w="93" w:type="dxa"/>
        <w:tblLook w:val="04A0" w:firstRow="1" w:lastRow="0" w:firstColumn="1" w:lastColumn="0" w:noHBand="0" w:noVBand="1"/>
      </w:tblPr>
      <w:tblGrid>
        <w:gridCol w:w="960"/>
        <w:gridCol w:w="960"/>
        <w:gridCol w:w="960"/>
      </w:tblGrid>
      <w:tr w:rsidR="00D35ACD" w:rsidRPr="00157AB2" w:rsidTr="0039322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TC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CotQTL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3.0345</w:t>
            </w:r>
          </w:p>
        </w:tc>
      </w:tr>
      <w:tr w:rsidR="00D35ACD" w:rsidRPr="00157AB2" w:rsidTr="0039322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H09II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3.0717</w:t>
            </w:r>
          </w:p>
        </w:tc>
      </w:tr>
      <w:tr w:rsidR="00D35ACD" w:rsidRPr="00157AB2" w:rsidTr="0039322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H09S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2.9272</w:t>
            </w:r>
          </w:p>
        </w:tc>
      </w:tr>
      <w:tr w:rsidR="00D35ACD" w:rsidRPr="00157AB2" w:rsidTr="0039322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W09II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3.0099</w:t>
            </w:r>
          </w:p>
        </w:tc>
      </w:tr>
      <w:tr w:rsidR="00D35ACD" w:rsidRPr="00157AB2" w:rsidTr="0039322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W09S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2.7558</w:t>
            </w:r>
          </w:p>
        </w:tc>
      </w:tr>
      <w:tr w:rsidR="00D35ACD" w:rsidRPr="00157AB2" w:rsidTr="0039322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W10II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2.8686</w:t>
            </w:r>
          </w:p>
        </w:tc>
      </w:tr>
      <w:tr w:rsidR="00D35ACD" w:rsidRPr="00157AB2" w:rsidTr="0039322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W10S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2.9593</w:t>
            </w:r>
          </w:p>
        </w:tc>
      </w:tr>
      <w:tr w:rsidR="00D35ACD" w:rsidRPr="00157AB2" w:rsidTr="0039322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</w:tr>
      <w:tr w:rsidR="00D35ACD" w:rsidRPr="00157AB2" w:rsidTr="0039322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TS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proofErr w:type="spellStart"/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CotQTL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2.9992</w:t>
            </w:r>
          </w:p>
        </w:tc>
      </w:tr>
      <w:tr w:rsidR="00D35ACD" w:rsidRPr="00157AB2" w:rsidTr="0039322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H08II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2.9507</w:t>
            </w:r>
          </w:p>
        </w:tc>
      </w:tr>
      <w:tr w:rsidR="00D35ACD" w:rsidRPr="00157AB2" w:rsidTr="0039322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H08S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2.5453</w:t>
            </w:r>
          </w:p>
        </w:tc>
      </w:tr>
      <w:tr w:rsidR="00D35ACD" w:rsidRPr="00157AB2" w:rsidTr="0039322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W09II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2.8154</w:t>
            </w:r>
          </w:p>
        </w:tc>
      </w:tr>
      <w:tr w:rsidR="00D35ACD" w:rsidRPr="00157AB2" w:rsidTr="0039322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W09S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2.9286</w:t>
            </w:r>
          </w:p>
        </w:tc>
      </w:tr>
      <w:tr w:rsidR="00D35ACD" w:rsidRPr="00157AB2" w:rsidTr="0039322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W11II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2.9103</w:t>
            </w:r>
          </w:p>
        </w:tc>
      </w:tr>
      <w:tr w:rsidR="00D35ACD" w:rsidRPr="00157AB2" w:rsidTr="0039322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W11S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2.8802</w:t>
            </w:r>
          </w:p>
        </w:tc>
      </w:tr>
      <w:tr w:rsidR="00D35ACD" w:rsidRPr="00157AB2" w:rsidTr="0039322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H12II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2.6639</w:t>
            </w:r>
          </w:p>
        </w:tc>
      </w:tr>
      <w:tr w:rsidR="00D35ACD" w:rsidRPr="00157AB2" w:rsidTr="0039322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H12S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5ACD" w:rsidRPr="00157AB2" w:rsidRDefault="00D35ACD" w:rsidP="00393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</w:pPr>
            <w:r w:rsidRPr="00157A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</w:rPr>
              <w:t>2.7328</w:t>
            </w:r>
          </w:p>
        </w:tc>
      </w:tr>
    </w:tbl>
    <w:p w:rsidR="00D35ACD" w:rsidRDefault="00D35ACD" w:rsidP="00D35ACD">
      <w:pPr>
        <w:autoSpaceDE w:val="0"/>
        <w:autoSpaceDN w:val="0"/>
        <w:adjustRightInd w:val="0"/>
        <w:spacing w:after="0" w:line="240" w:lineRule="auto"/>
        <w:rPr>
          <w:rFonts w:ascii="Times New Roman" w:eastAsia="PalatinoLinotype-Roman" w:hAnsi="Times New Roman" w:cs="Times New Roman"/>
          <w:color w:val="000000"/>
          <w:sz w:val="20"/>
          <w:szCs w:val="20"/>
        </w:rPr>
      </w:pPr>
    </w:p>
    <w:p w:rsidR="00D35ACD" w:rsidRDefault="00D35ACD" w:rsidP="00D35ACD">
      <w:pPr>
        <w:autoSpaceDE w:val="0"/>
        <w:autoSpaceDN w:val="0"/>
        <w:adjustRightInd w:val="0"/>
        <w:spacing w:after="0" w:line="240" w:lineRule="auto"/>
        <w:rPr>
          <w:rFonts w:ascii="Times New Roman" w:eastAsia="PalatinoLinotype-Roman" w:hAnsi="Times New Roman" w:cs="Times New Roman"/>
          <w:color w:val="000000"/>
          <w:sz w:val="20"/>
          <w:szCs w:val="20"/>
        </w:rPr>
      </w:pPr>
    </w:p>
    <w:p w:rsidR="00D35ACD" w:rsidRPr="00B17B7F" w:rsidRDefault="00D35ACD" w:rsidP="00D35ACD">
      <w:pPr>
        <w:autoSpaceDE w:val="0"/>
        <w:autoSpaceDN w:val="0"/>
        <w:adjustRightInd w:val="0"/>
        <w:spacing w:after="0" w:line="240" w:lineRule="auto"/>
        <w:rPr>
          <w:rFonts w:ascii="Times New Roman" w:eastAsia="PalatinoLinotype-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All QTL detected from each environment with LOD &gt; 2.5 for A) </w:t>
      </w:r>
      <w:proofErr w:type="spellStart"/>
      <w:r>
        <w:rPr>
          <w:rFonts w:ascii="Times New Roman" w:hAnsi="Times New Roman" w:cs="Times New Roman"/>
          <w:sz w:val="16"/>
          <w:szCs w:val="16"/>
        </w:rPr>
        <w:t>Topas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/AG-Castle population and B) </w:t>
      </w:r>
      <w:proofErr w:type="spellStart"/>
      <w:r>
        <w:rPr>
          <w:rFonts w:ascii="Times New Roman" w:hAnsi="Times New Roman" w:cs="Times New Roman"/>
          <w:sz w:val="16"/>
          <w:szCs w:val="16"/>
        </w:rPr>
        <w:t>Topas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/AV-Sapphire population. </w:t>
      </w:r>
      <w:r w:rsidRPr="00B17B7F">
        <w:rPr>
          <w:rFonts w:ascii="Times New Roman" w:eastAsia="PalatinoLinotype-Roman" w:hAnsi="Times New Roman" w:cs="Times New Roman"/>
          <w:color w:val="000000"/>
          <w:sz w:val="16"/>
          <w:szCs w:val="16"/>
        </w:rPr>
        <w:t>Single environment and multi-environment QTL</w:t>
      </w:r>
      <w:r>
        <w:rPr>
          <w:rFonts w:ascii="Times New Roman" w:eastAsia="PalatinoLinotype-Roman" w:hAnsi="Times New Roman" w:cs="Times New Roman"/>
          <w:color w:val="000000"/>
          <w:sz w:val="16"/>
          <w:szCs w:val="16"/>
        </w:rPr>
        <w:t xml:space="preserve"> shown</w:t>
      </w:r>
      <w:r w:rsidRPr="00B17B7F">
        <w:rPr>
          <w:rFonts w:ascii="Times New Roman" w:eastAsia="PalatinoLinotype-Roman" w:hAnsi="Times New Roman" w:cs="Times New Roman"/>
          <w:color w:val="000000"/>
          <w:sz w:val="16"/>
          <w:szCs w:val="16"/>
        </w:rPr>
        <w:t xml:space="preserve">, single-environment trait names given as location (H = Horsham, W = </w:t>
      </w:r>
      <w:proofErr w:type="spellStart"/>
      <w:r w:rsidRPr="00B17B7F">
        <w:rPr>
          <w:rFonts w:ascii="Times New Roman" w:eastAsia="PalatinoLinotype-Roman" w:hAnsi="Times New Roman" w:cs="Times New Roman"/>
          <w:color w:val="000000"/>
          <w:sz w:val="16"/>
          <w:szCs w:val="16"/>
        </w:rPr>
        <w:t>Wagga</w:t>
      </w:r>
      <w:proofErr w:type="spellEnd"/>
      <w:r w:rsidRPr="00B17B7F">
        <w:rPr>
          <w:rFonts w:ascii="Times New Roman" w:eastAsia="PalatinoLinotype-Roman" w:hAnsi="Times New Roman" w:cs="Times New Roman"/>
          <w:color w:val="000000"/>
          <w:sz w:val="16"/>
          <w:szCs w:val="16"/>
        </w:rPr>
        <w:t xml:space="preserve"> </w:t>
      </w:r>
      <w:proofErr w:type="spellStart"/>
      <w:r w:rsidRPr="00B17B7F">
        <w:rPr>
          <w:rFonts w:ascii="Times New Roman" w:eastAsia="PalatinoLinotype-Roman" w:hAnsi="Times New Roman" w:cs="Times New Roman"/>
          <w:color w:val="000000"/>
          <w:sz w:val="16"/>
          <w:szCs w:val="16"/>
        </w:rPr>
        <w:t>Wagga</w:t>
      </w:r>
      <w:proofErr w:type="spellEnd"/>
      <w:r w:rsidRPr="00B17B7F">
        <w:rPr>
          <w:rFonts w:ascii="Times New Roman" w:eastAsia="PalatinoLinotype-Roman" w:hAnsi="Times New Roman" w:cs="Times New Roman"/>
          <w:color w:val="000000"/>
          <w:sz w:val="16"/>
          <w:szCs w:val="16"/>
        </w:rPr>
        <w:t xml:space="preserve">), year (08-12 = 2008 – 2012) and metric (S = survival, II = internal infection), MET = Multi-environment traits (all environments) for S (survival) and MET II (internal infection) metrics, </w:t>
      </w:r>
      <w:proofErr w:type="spellStart"/>
      <w:r w:rsidRPr="00B17B7F">
        <w:rPr>
          <w:rFonts w:ascii="Times New Roman" w:eastAsia="PalatinoLinotype-Roman" w:hAnsi="Times New Roman" w:cs="Times New Roman"/>
          <w:color w:val="000000"/>
          <w:sz w:val="16"/>
          <w:szCs w:val="16"/>
        </w:rPr>
        <w:t>CotQTL</w:t>
      </w:r>
      <w:proofErr w:type="spellEnd"/>
      <w:r w:rsidRPr="00B17B7F">
        <w:rPr>
          <w:rFonts w:ascii="Times New Roman" w:eastAsia="PalatinoLinotype-Roman" w:hAnsi="Times New Roman" w:cs="Times New Roman"/>
          <w:color w:val="000000"/>
          <w:sz w:val="16"/>
          <w:szCs w:val="16"/>
        </w:rPr>
        <w:t xml:space="preserve"> = single-isolate cotyledon tests. </w:t>
      </w:r>
      <w:proofErr w:type="spellStart"/>
      <w:proofErr w:type="gramStart"/>
      <w:r w:rsidRPr="00B17B7F">
        <w:rPr>
          <w:rFonts w:ascii="Times New Roman" w:hAnsi="Times New Roman" w:cs="Times New Roman"/>
          <w:sz w:val="16"/>
          <w:szCs w:val="16"/>
        </w:rPr>
        <w:t>Chrom</w:t>
      </w:r>
      <w:proofErr w:type="spellEnd"/>
      <w:r w:rsidRPr="00B17B7F">
        <w:rPr>
          <w:rFonts w:ascii="Times New Roman" w:hAnsi="Times New Roman" w:cs="Times New Roman"/>
          <w:sz w:val="16"/>
          <w:szCs w:val="16"/>
        </w:rPr>
        <w:t>.</w:t>
      </w:r>
      <w:proofErr w:type="gramEnd"/>
      <w:r w:rsidRPr="00B17B7F">
        <w:rPr>
          <w:rFonts w:ascii="Times New Roman" w:hAnsi="Times New Roman" w:cs="Times New Roman"/>
          <w:sz w:val="16"/>
          <w:szCs w:val="16"/>
        </w:rPr>
        <w:t xml:space="preserve"> = </w:t>
      </w:r>
      <w:r w:rsidRPr="00B17B7F">
        <w:rPr>
          <w:rFonts w:ascii="Times New Roman" w:hAnsi="Times New Roman" w:cs="Times New Roman"/>
          <w:i/>
          <w:sz w:val="16"/>
          <w:szCs w:val="16"/>
        </w:rPr>
        <w:t>B. napus</w:t>
      </w:r>
      <w:r w:rsidRPr="00B17B7F">
        <w:rPr>
          <w:rFonts w:ascii="Times New Roman" w:hAnsi="Times New Roman" w:cs="Times New Roman"/>
          <w:sz w:val="16"/>
          <w:szCs w:val="16"/>
        </w:rPr>
        <w:t xml:space="preserve"> chromosome; </w:t>
      </w:r>
      <w:r w:rsidRPr="00B17B7F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en-CA"/>
        </w:rPr>
        <w:t>Peak (</w:t>
      </w:r>
      <w:proofErr w:type="spellStart"/>
      <w:r w:rsidRPr="00B17B7F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en-CA"/>
        </w:rPr>
        <w:t>cM</w:t>
      </w:r>
      <w:proofErr w:type="spellEnd"/>
      <w:r w:rsidRPr="00B17B7F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en-CA"/>
        </w:rPr>
        <w:t xml:space="preserve">) = Position of Peak LOD value (in </w:t>
      </w:r>
      <w:proofErr w:type="spellStart"/>
      <w:r w:rsidRPr="00B17B7F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en-CA"/>
        </w:rPr>
        <w:t>centiMorgans</w:t>
      </w:r>
      <w:proofErr w:type="spellEnd"/>
      <w:r w:rsidRPr="00B17B7F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en-CA"/>
        </w:rPr>
        <w:t xml:space="preserve">); Peak Interval = map interval containing QTL peak LOD; LOD = peak </w:t>
      </w:r>
      <w:r w:rsidRPr="00B17B7F">
        <w:rPr>
          <w:rFonts w:ascii="Times New Roman" w:hAnsi="Times New Roman" w:cs="Times New Roman"/>
          <w:sz w:val="16"/>
          <w:szCs w:val="16"/>
        </w:rPr>
        <w:t>logarithm of odds; σ²(%) = variance (total percentage); Add = additive effect (</w:t>
      </w:r>
      <w:r>
        <w:rPr>
          <w:rFonts w:ascii="Times New Roman" w:hAnsi="Times New Roman" w:cs="Times New Roman"/>
          <w:sz w:val="16"/>
          <w:szCs w:val="16"/>
        </w:rPr>
        <w:t>positive</w:t>
      </w:r>
      <w:r w:rsidRPr="00B17B7F">
        <w:rPr>
          <w:rFonts w:ascii="Times New Roman" w:hAnsi="Times New Roman" w:cs="Times New Roman"/>
          <w:sz w:val="16"/>
          <w:szCs w:val="16"/>
        </w:rPr>
        <w:t xml:space="preserve"> score indicates net genetic contribution from AG-Castle </w:t>
      </w:r>
      <w:r>
        <w:rPr>
          <w:rFonts w:ascii="Times New Roman" w:hAnsi="Times New Roman" w:cs="Times New Roman"/>
          <w:sz w:val="16"/>
          <w:szCs w:val="16"/>
        </w:rPr>
        <w:t xml:space="preserve">or AV-Sapphire </w:t>
      </w:r>
      <w:r w:rsidRPr="00B17B7F">
        <w:rPr>
          <w:rFonts w:ascii="Times New Roman" w:hAnsi="Times New Roman" w:cs="Times New Roman"/>
          <w:sz w:val="16"/>
          <w:szCs w:val="16"/>
        </w:rPr>
        <w:t>parent); σ²</w:t>
      </w:r>
      <w:r w:rsidRPr="00BF78DC">
        <w:rPr>
          <w:rFonts w:ascii="Times New Roman" w:hAnsi="Times New Roman" w:cs="Times New Roman"/>
          <w:sz w:val="16"/>
          <w:szCs w:val="16"/>
          <w:vertAlign w:val="subscript"/>
        </w:rPr>
        <w:t>A</w:t>
      </w:r>
      <w:r w:rsidRPr="00B17B7F">
        <w:rPr>
          <w:rFonts w:ascii="Times New Roman" w:hAnsi="Times New Roman" w:cs="Times New Roman"/>
          <w:sz w:val="16"/>
          <w:szCs w:val="16"/>
        </w:rPr>
        <w:t xml:space="preserve"> = variance (additive)</w:t>
      </w:r>
      <w:r>
        <w:rPr>
          <w:rFonts w:ascii="Times New Roman" w:hAnsi="Times New Roman" w:cs="Times New Roman"/>
          <w:sz w:val="16"/>
          <w:szCs w:val="16"/>
        </w:rPr>
        <w:t xml:space="preserve"> portion (%)</w:t>
      </w:r>
      <w:r w:rsidRPr="00B17B7F">
        <w:rPr>
          <w:rFonts w:ascii="Times New Roman" w:hAnsi="Times New Roman" w:cs="Times New Roman"/>
          <w:sz w:val="16"/>
          <w:szCs w:val="16"/>
        </w:rPr>
        <w:t>, σ²</w:t>
      </w:r>
      <w:r w:rsidRPr="00BF78DC">
        <w:rPr>
          <w:rFonts w:ascii="Times New Roman" w:hAnsi="Times New Roman" w:cs="Times New Roman"/>
          <w:sz w:val="16"/>
          <w:szCs w:val="16"/>
          <w:vertAlign w:val="subscript"/>
        </w:rPr>
        <w:t>E</w:t>
      </w:r>
      <w:r w:rsidRPr="00B17B7F">
        <w:rPr>
          <w:rFonts w:ascii="Times New Roman" w:hAnsi="Times New Roman" w:cs="Times New Roman"/>
          <w:sz w:val="16"/>
          <w:szCs w:val="16"/>
        </w:rPr>
        <w:t xml:space="preserve"> = variance (environmental)</w:t>
      </w:r>
      <w:r>
        <w:rPr>
          <w:rFonts w:ascii="Times New Roman" w:hAnsi="Times New Roman" w:cs="Times New Roman"/>
          <w:sz w:val="16"/>
          <w:szCs w:val="16"/>
        </w:rPr>
        <w:t xml:space="preserve"> portion (%)</w:t>
      </w:r>
      <w:r w:rsidRPr="00B17B7F">
        <w:rPr>
          <w:rFonts w:ascii="Times New Roman" w:hAnsi="Times New Roman" w:cs="Times New Roman"/>
          <w:sz w:val="16"/>
          <w:szCs w:val="16"/>
        </w:rPr>
        <w:t xml:space="preserve">; </w:t>
      </w:r>
      <w:r w:rsidRPr="00B17B7F">
        <w:rPr>
          <w:rFonts w:ascii="Times New Roman" w:hAnsi="Times New Roman" w:cs="Times New Roman"/>
          <w:i/>
          <w:sz w:val="16"/>
          <w:szCs w:val="16"/>
        </w:rPr>
        <w:t>h</w:t>
      </w:r>
      <w:r w:rsidRPr="00B17B7F">
        <w:rPr>
          <w:rFonts w:ascii="Times New Roman" w:hAnsi="Times New Roman" w:cs="Times New Roman"/>
          <w:sz w:val="16"/>
          <w:szCs w:val="16"/>
          <w:vertAlign w:val="superscript"/>
        </w:rPr>
        <w:t>2</w:t>
      </w:r>
      <w:r w:rsidRPr="00B17B7F">
        <w:rPr>
          <w:rFonts w:ascii="Times New Roman" w:hAnsi="Times New Roman" w:cs="Times New Roman"/>
          <w:sz w:val="16"/>
          <w:szCs w:val="16"/>
        </w:rPr>
        <w:t xml:space="preserve"> = heritability (σ²</w:t>
      </w:r>
      <w:r w:rsidRPr="00BF78DC">
        <w:rPr>
          <w:rFonts w:ascii="Times New Roman" w:hAnsi="Times New Roman" w:cs="Times New Roman"/>
          <w:sz w:val="16"/>
          <w:szCs w:val="16"/>
          <w:vertAlign w:val="subscript"/>
        </w:rPr>
        <w:t>A</w:t>
      </w:r>
      <w:r w:rsidRPr="00B17B7F">
        <w:rPr>
          <w:rFonts w:ascii="Times New Roman" w:hAnsi="Times New Roman" w:cs="Times New Roman"/>
          <w:sz w:val="16"/>
          <w:szCs w:val="16"/>
        </w:rPr>
        <w:t>/</w:t>
      </w:r>
      <w:r w:rsidRPr="00B17B7F">
        <w:rPr>
          <w:sz w:val="16"/>
          <w:szCs w:val="16"/>
        </w:rPr>
        <w:t xml:space="preserve"> </w:t>
      </w:r>
      <w:r w:rsidRPr="00B17B7F">
        <w:rPr>
          <w:rFonts w:ascii="Times New Roman" w:hAnsi="Times New Roman" w:cs="Times New Roman"/>
          <w:sz w:val="16"/>
          <w:szCs w:val="16"/>
        </w:rPr>
        <w:t>σ²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7B7F">
        <w:rPr>
          <w:rFonts w:ascii="Times New Roman" w:hAnsi="Times New Roman" w:cs="Times New Roman"/>
          <w:sz w:val="16"/>
          <w:szCs w:val="16"/>
        </w:rPr>
        <w:t>(%)).</w:t>
      </w:r>
      <w:r>
        <w:rPr>
          <w:rFonts w:ascii="Times New Roman" w:hAnsi="Times New Roman" w:cs="Times New Roman"/>
          <w:sz w:val="16"/>
          <w:szCs w:val="16"/>
        </w:rPr>
        <w:t xml:space="preserve"> Names in red are QTL that failed to meet all significance criteria, values in red are &lt; significance threshold. C) LOD significance thresholds determined for each dataset by permutation test (1000 permutations).</w:t>
      </w:r>
    </w:p>
    <w:p w:rsidR="00D35ACD" w:rsidRDefault="00D35ACD" w:rsidP="00D35ACD">
      <w:pPr>
        <w:autoSpaceDE w:val="0"/>
        <w:autoSpaceDN w:val="0"/>
        <w:adjustRightInd w:val="0"/>
        <w:spacing w:after="0" w:line="240" w:lineRule="auto"/>
        <w:rPr>
          <w:rFonts w:ascii="Times New Roman" w:eastAsia="PalatinoLinotype-Roman" w:hAnsi="Times New Roman" w:cs="Times New Roman"/>
          <w:color w:val="000000"/>
          <w:sz w:val="20"/>
          <w:szCs w:val="20"/>
        </w:rPr>
      </w:pPr>
    </w:p>
    <w:p w:rsidR="00D35ACD" w:rsidRDefault="00D35ACD" w:rsidP="00D35ACD">
      <w:pPr>
        <w:autoSpaceDE w:val="0"/>
        <w:autoSpaceDN w:val="0"/>
        <w:adjustRightInd w:val="0"/>
        <w:spacing w:after="0" w:line="240" w:lineRule="auto"/>
        <w:rPr>
          <w:rFonts w:ascii="Times New Roman" w:eastAsia="PalatinoLinotype-Roman" w:hAnsi="Times New Roman" w:cs="Times New Roman"/>
          <w:color w:val="000000"/>
          <w:sz w:val="20"/>
          <w:szCs w:val="20"/>
        </w:rPr>
      </w:pPr>
    </w:p>
    <w:p w:rsidR="00B75ABA" w:rsidRDefault="00D35ACD">
      <w:bookmarkStart w:id="0" w:name="_GoBack"/>
      <w:bookmarkEnd w:id="0"/>
    </w:p>
    <w:sectPr w:rsidR="00B75AB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alatinoLinotype-Roman">
    <w:altName w:val="Batang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 LT St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1635F"/>
    <w:multiLevelType w:val="hybridMultilevel"/>
    <w:tmpl w:val="69FC6B0E"/>
    <w:lvl w:ilvl="0" w:tplc="A12ECB6C">
      <w:start w:val="242"/>
      <w:numFmt w:val="bullet"/>
      <w:lvlText w:val="-"/>
      <w:lvlJc w:val="left"/>
      <w:pPr>
        <w:ind w:left="1080" w:hanging="360"/>
      </w:pPr>
      <w:rPr>
        <w:rFonts w:ascii="PalatinoLinotype-Roman" w:eastAsia="PalatinoLinotype-Roman" w:hAnsiTheme="minorHAnsi" w:cs="PalatinoLinotype-Roman" w:hint="eastAsia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CFF7706"/>
    <w:multiLevelType w:val="hybridMultilevel"/>
    <w:tmpl w:val="1478B7BA"/>
    <w:lvl w:ilvl="0" w:tplc="B2E8F8A2">
      <w:start w:val="2"/>
      <w:numFmt w:val="bullet"/>
      <w:lvlText w:val=""/>
      <w:lvlJc w:val="left"/>
      <w:pPr>
        <w:ind w:left="4680" w:hanging="360"/>
      </w:pPr>
      <w:rPr>
        <w:rFonts w:ascii="Symbol" w:eastAsia="PalatinoLinotype-Roman" w:hAnsi="Symbol" w:cs="PalatinoLinotype-Roman" w:hint="default"/>
      </w:rPr>
    </w:lvl>
    <w:lvl w:ilvl="1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2">
    <w:nsid w:val="6FA3101A"/>
    <w:multiLevelType w:val="hybridMultilevel"/>
    <w:tmpl w:val="C9C642FA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7C558B"/>
    <w:multiLevelType w:val="multilevel"/>
    <w:tmpl w:val="0570F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61E2DBB"/>
    <w:multiLevelType w:val="hybridMultilevel"/>
    <w:tmpl w:val="6B003D72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ACD"/>
    <w:rsid w:val="005B5BE7"/>
    <w:rsid w:val="007A1C2B"/>
    <w:rsid w:val="00D35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ACD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5AC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D35AC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D35AC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35ACD"/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paragraph" w:styleId="ListParagraph">
    <w:name w:val="List Paragraph"/>
    <w:basedOn w:val="Normal"/>
    <w:uiPriority w:val="34"/>
    <w:qFormat/>
    <w:rsid w:val="00D35ACD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D35A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C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35ACD"/>
    <w:rPr>
      <w:rFonts w:ascii="Courier New" w:eastAsia="Times New Roman" w:hAnsi="Courier New" w:cs="Courier New"/>
      <w:sz w:val="20"/>
      <w:szCs w:val="20"/>
      <w:lang w:eastAsia="en-CA"/>
    </w:rPr>
  </w:style>
  <w:style w:type="character" w:styleId="Hyperlink">
    <w:name w:val="Hyperlink"/>
    <w:basedOn w:val="DefaultParagraphFont"/>
    <w:uiPriority w:val="99"/>
    <w:unhideWhenUsed/>
    <w:rsid w:val="00D35AC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5A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5ACD"/>
    <w:rPr>
      <w:rFonts w:ascii="Tahoma" w:hAnsi="Tahoma" w:cs="Tahoma"/>
      <w:sz w:val="16"/>
      <w:szCs w:val="16"/>
    </w:rPr>
  </w:style>
  <w:style w:type="paragraph" w:customStyle="1" w:styleId="EndNoteBibliographyTitle">
    <w:name w:val="EndNote Bibliography Title"/>
    <w:basedOn w:val="Normal"/>
    <w:link w:val="EndNoteBibliographyTitleChar"/>
    <w:rsid w:val="00D35ACD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35ACD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D35ACD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D35ACD"/>
    <w:rPr>
      <w:rFonts w:ascii="Calibri" w:hAnsi="Calibri"/>
      <w:noProof/>
      <w:lang w:val="en-US"/>
    </w:rPr>
  </w:style>
  <w:style w:type="paragraph" w:styleId="NormalWeb">
    <w:name w:val="Normal (Web)"/>
    <w:basedOn w:val="Normal"/>
    <w:uiPriority w:val="99"/>
    <w:semiHidden/>
    <w:unhideWhenUsed/>
    <w:rsid w:val="00D35A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styleId="Emphasis">
    <w:name w:val="Emphasis"/>
    <w:basedOn w:val="DefaultParagraphFont"/>
    <w:uiPriority w:val="20"/>
    <w:qFormat/>
    <w:rsid w:val="00D35ACD"/>
    <w:rPr>
      <w:i/>
      <w:iCs/>
    </w:rPr>
  </w:style>
  <w:style w:type="paragraph" w:customStyle="1" w:styleId="shortname">
    <w:name w:val="shortname"/>
    <w:basedOn w:val="Normal"/>
    <w:rsid w:val="00D35A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Default">
    <w:name w:val="Default"/>
    <w:rsid w:val="00D35ACD"/>
    <w:pPr>
      <w:autoSpaceDE w:val="0"/>
      <w:autoSpaceDN w:val="0"/>
      <w:adjustRightInd w:val="0"/>
      <w:spacing w:after="0" w:line="240" w:lineRule="auto"/>
    </w:pPr>
    <w:rPr>
      <w:rFonts w:ascii="Helvetica Neue LT Std" w:hAnsi="Helvetica Neue LT Std" w:cs="Helvetica Neue LT Std"/>
      <w:color w:val="000000"/>
      <w:sz w:val="24"/>
      <w:szCs w:val="24"/>
    </w:rPr>
  </w:style>
  <w:style w:type="character" w:customStyle="1" w:styleId="xapple-converted-space">
    <w:name w:val="x_apple-converted-space"/>
    <w:basedOn w:val="DefaultParagraphFont"/>
    <w:rsid w:val="00D35ACD"/>
  </w:style>
  <w:style w:type="character" w:styleId="CommentReference">
    <w:name w:val="annotation reference"/>
    <w:basedOn w:val="DefaultParagraphFont"/>
    <w:uiPriority w:val="99"/>
    <w:semiHidden/>
    <w:unhideWhenUsed/>
    <w:rsid w:val="00D35A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5A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5AC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5A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5AC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35ACD"/>
    <w:pPr>
      <w:spacing w:after="0" w:line="240" w:lineRule="auto"/>
    </w:pPr>
  </w:style>
  <w:style w:type="character" w:customStyle="1" w:styleId="tgc">
    <w:name w:val="_tgc"/>
    <w:basedOn w:val="DefaultParagraphFont"/>
    <w:rsid w:val="00D35ACD"/>
  </w:style>
  <w:style w:type="paragraph" w:styleId="Header">
    <w:name w:val="header"/>
    <w:basedOn w:val="Normal"/>
    <w:link w:val="HeaderChar"/>
    <w:uiPriority w:val="99"/>
    <w:unhideWhenUsed/>
    <w:rsid w:val="00D35A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5ACD"/>
  </w:style>
  <w:style w:type="paragraph" w:styleId="Footer">
    <w:name w:val="footer"/>
    <w:basedOn w:val="Normal"/>
    <w:link w:val="FooterChar"/>
    <w:uiPriority w:val="99"/>
    <w:unhideWhenUsed/>
    <w:rsid w:val="00D35A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5ACD"/>
  </w:style>
  <w:style w:type="character" w:styleId="LineNumber">
    <w:name w:val="line number"/>
    <w:basedOn w:val="DefaultParagraphFont"/>
    <w:uiPriority w:val="99"/>
    <w:semiHidden/>
    <w:unhideWhenUsed/>
    <w:rsid w:val="00D35ACD"/>
  </w:style>
  <w:style w:type="paragraph" w:styleId="PlainText">
    <w:name w:val="Plain Text"/>
    <w:basedOn w:val="Normal"/>
    <w:link w:val="PlainTextChar"/>
    <w:uiPriority w:val="99"/>
    <w:unhideWhenUsed/>
    <w:rsid w:val="00D35ACD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35ACD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ACD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5AC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D35AC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D35AC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35ACD"/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paragraph" w:styleId="ListParagraph">
    <w:name w:val="List Paragraph"/>
    <w:basedOn w:val="Normal"/>
    <w:uiPriority w:val="34"/>
    <w:qFormat/>
    <w:rsid w:val="00D35ACD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D35A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C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35ACD"/>
    <w:rPr>
      <w:rFonts w:ascii="Courier New" w:eastAsia="Times New Roman" w:hAnsi="Courier New" w:cs="Courier New"/>
      <w:sz w:val="20"/>
      <w:szCs w:val="20"/>
      <w:lang w:eastAsia="en-CA"/>
    </w:rPr>
  </w:style>
  <w:style w:type="character" w:styleId="Hyperlink">
    <w:name w:val="Hyperlink"/>
    <w:basedOn w:val="DefaultParagraphFont"/>
    <w:uiPriority w:val="99"/>
    <w:unhideWhenUsed/>
    <w:rsid w:val="00D35AC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5A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5ACD"/>
    <w:rPr>
      <w:rFonts w:ascii="Tahoma" w:hAnsi="Tahoma" w:cs="Tahoma"/>
      <w:sz w:val="16"/>
      <w:szCs w:val="16"/>
    </w:rPr>
  </w:style>
  <w:style w:type="paragraph" w:customStyle="1" w:styleId="EndNoteBibliographyTitle">
    <w:name w:val="EndNote Bibliography Title"/>
    <w:basedOn w:val="Normal"/>
    <w:link w:val="EndNoteBibliographyTitleChar"/>
    <w:rsid w:val="00D35ACD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35ACD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D35ACD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D35ACD"/>
    <w:rPr>
      <w:rFonts w:ascii="Calibri" w:hAnsi="Calibri"/>
      <w:noProof/>
      <w:lang w:val="en-US"/>
    </w:rPr>
  </w:style>
  <w:style w:type="paragraph" w:styleId="NormalWeb">
    <w:name w:val="Normal (Web)"/>
    <w:basedOn w:val="Normal"/>
    <w:uiPriority w:val="99"/>
    <w:semiHidden/>
    <w:unhideWhenUsed/>
    <w:rsid w:val="00D35A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styleId="Emphasis">
    <w:name w:val="Emphasis"/>
    <w:basedOn w:val="DefaultParagraphFont"/>
    <w:uiPriority w:val="20"/>
    <w:qFormat/>
    <w:rsid w:val="00D35ACD"/>
    <w:rPr>
      <w:i/>
      <w:iCs/>
    </w:rPr>
  </w:style>
  <w:style w:type="paragraph" w:customStyle="1" w:styleId="shortname">
    <w:name w:val="shortname"/>
    <w:basedOn w:val="Normal"/>
    <w:rsid w:val="00D35A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Default">
    <w:name w:val="Default"/>
    <w:rsid w:val="00D35ACD"/>
    <w:pPr>
      <w:autoSpaceDE w:val="0"/>
      <w:autoSpaceDN w:val="0"/>
      <w:adjustRightInd w:val="0"/>
      <w:spacing w:after="0" w:line="240" w:lineRule="auto"/>
    </w:pPr>
    <w:rPr>
      <w:rFonts w:ascii="Helvetica Neue LT Std" w:hAnsi="Helvetica Neue LT Std" w:cs="Helvetica Neue LT Std"/>
      <w:color w:val="000000"/>
      <w:sz w:val="24"/>
      <w:szCs w:val="24"/>
    </w:rPr>
  </w:style>
  <w:style w:type="character" w:customStyle="1" w:styleId="xapple-converted-space">
    <w:name w:val="x_apple-converted-space"/>
    <w:basedOn w:val="DefaultParagraphFont"/>
    <w:rsid w:val="00D35ACD"/>
  </w:style>
  <w:style w:type="character" w:styleId="CommentReference">
    <w:name w:val="annotation reference"/>
    <w:basedOn w:val="DefaultParagraphFont"/>
    <w:uiPriority w:val="99"/>
    <w:semiHidden/>
    <w:unhideWhenUsed/>
    <w:rsid w:val="00D35A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5A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5AC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5A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5AC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35ACD"/>
    <w:pPr>
      <w:spacing w:after="0" w:line="240" w:lineRule="auto"/>
    </w:pPr>
  </w:style>
  <w:style w:type="character" w:customStyle="1" w:styleId="tgc">
    <w:name w:val="_tgc"/>
    <w:basedOn w:val="DefaultParagraphFont"/>
    <w:rsid w:val="00D35ACD"/>
  </w:style>
  <w:style w:type="paragraph" w:styleId="Header">
    <w:name w:val="header"/>
    <w:basedOn w:val="Normal"/>
    <w:link w:val="HeaderChar"/>
    <w:uiPriority w:val="99"/>
    <w:unhideWhenUsed/>
    <w:rsid w:val="00D35A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5ACD"/>
  </w:style>
  <w:style w:type="paragraph" w:styleId="Footer">
    <w:name w:val="footer"/>
    <w:basedOn w:val="Normal"/>
    <w:link w:val="FooterChar"/>
    <w:uiPriority w:val="99"/>
    <w:unhideWhenUsed/>
    <w:rsid w:val="00D35A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5ACD"/>
  </w:style>
  <w:style w:type="character" w:styleId="LineNumber">
    <w:name w:val="line number"/>
    <w:basedOn w:val="DefaultParagraphFont"/>
    <w:uiPriority w:val="99"/>
    <w:semiHidden/>
    <w:unhideWhenUsed/>
    <w:rsid w:val="00D35ACD"/>
  </w:style>
  <w:style w:type="paragraph" w:styleId="PlainText">
    <w:name w:val="Plain Text"/>
    <w:basedOn w:val="Normal"/>
    <w:link w:val="PlainTextChar"/>
    <w:uiPriority w:val="99"/>
    <w:unhideWhenUsed/>
    <w:rsid w:val="00D35ACD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35ACD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1020</Words>
  <Characters>5819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AAFC-AAC</Company>
  <LinksUpToDate>false</LinksUpToDate>
  <CharactersWithSpaces>6826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AAFCAdmin</dc:creator>
  <cp:lastModifiedBy>AAFCAdmin</cp:lastModifiedBy>
  <cp:revision>1</cp:revision>
  <dcterms:created xsi:type="dcterms:W3CDTF">2016-08-04T16:27:00Z</dcterms:created>
  <dcterms:modified xsi:type="dcterms:W3CDTF">2016-08-04T16:27:00Z</dcterms:modified>
</cp:coreProperties>
</file>