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45AED" w14:textId="77777777" w:rsidR="00BD24B1" w:rsidRPr="007A748E" w:rsidRDefault="005D06C6" w:rsidP="007A748E">
      <w:pPr>
        <w:spacing w:line="480" w:lineRule="auto"/>
        <w:rPr>
          <w:b/>
          <w:sz w:val="28"/>
          <w:szCs w:val="28"/>
        </w:rPr>
      </w:pPr>
      <w:r w:rsidRPr="007A748E">
        <w:rPr>
          <w:b/>
          <w:sz w:val="28"/>
          <w:szCs w:val="28"/>
        </w:rPr>
        <w:t>Generation of cork oak genome draft</w:t>
      </w:r>
    </w:p>
    <w:p w14:paraId="3620ED78" w14:textId="77777777" w:rsidR="001476D9" w:rsidRPr="007A748E" w:rsidRDefault="001476D9" w:rsidP="007A748E">
      <w:pPr>
        <w:spacing w:line="480" w:lineRule="auto"/>
        <w:rPr>
          <w:b/>
          <w:sz w:val="24"/>
          <w:szCs w:val="24"/>
        </w:rPr>
      </w:pPr>
      <w:r w:rsidRPr="007A748E">
        <w:rPr>
          <w:b/>
          <w:sz w:val="24"/>
          <w:szCs w:val="24"/>
        </w:rPr>
        <w:t>DNA extraction and sequencing</w:t>
      </w:r>
    </w:p>
    <w:p w14:paraId="2842F75A" w14:textId="74B5330E" w:rsidR="00FE14C2" w:rsidRPr="007A748E" w:rsidRDefault="00FE14C2" w:rsidP="007A748E">
      <w:pPr>
        <w:spacing w:line="480" w:lineRule="auto"/>
        <w:jc w:val="both"/>
        <w:rPr>
          <w:sz w:val="24"/>
          <w:szCs w:val="24"/>
        </w:rPr>
      </w:pPr>
      <w:r w:rsidRPr="007A748E">
        <w:rPr>
          <w:sz w:val="24"/>
          <w:szCs w:val="24"/>
        </w:rPr>
        <w:t xml:space="preserve">Nuclear </w:t>
      </w:r>
      <w:r w:rsidR="00A17C93" w:rsidRPr="007A748E">
        <w:rPr>
          <w:sz w:val="24"/>
          <w:szCs w:val="24"/>
        </w:rPr>
        <w:t xml:space="preserve">DNA extractions were performed </w:t>
      </w:r>
      <w:r w:rsidRPr="007A748E">
        <w:rPr>
          <w:sz w:val="24"/>
          <w:szCs w:val="24"/>
        </w:rPr>
        <w:t xml:space="preserve">from leaf material </w:t>
      </w:r>
      <w:r w:rsidR="00CE5532" w:rsidRPr="007A748E">
        <w:rPr>
          <w:sz w:val="24"/>
          <w:szCs w:val="24"/>
        </w:rPr>
        <w:t xml:space="preserve">using </w:t>
      </w:r>
      <w:r w:rsidRPr="007A748E">
        <w:rPr>
          <w:sz w:val="24"/>
          <w:szCs w:val="24"/>
        </w:rPr>
        <w:t xml:space="preserve">the </w:t>
      </w:r>
      <w:proofErr w:type="spellStart"/>
      <w:r w:rsidRPr="007A748E">
        <w:rPr>
          <w:sz w:val="24"/>
          <w:szCs w:val="24"/>
        </w:rPr>
        <w:t>innuPREP</w:t>
      </w:r>
      <w:proofErr w:type="spellEnd"/>
      <w:r w:rsidRPr="007A748E">
        <w:rPr>
          <w:sz w:val="24"/>
          <w:szCs w:val="24"/>
        </w:rPr>
        <w:t xml:space="preserve"> Plant DNA Kit (</w:t>
      </w:r>
      <w:proofErr w:type="spellStart"/>
      <w:r w:rsidR="00E6393C">
        <w:rPr>
          <w:rFonts w:cs="Times New Roman"/>
          <w:sz w:val="24"/>
          <w:szCs w:val="24"/>
        </w:rPr>
        <w:fldChar w:fldCharType="begin"/>
      </w:r>
      <w:r w:rsidR="00E6393C">
        <w:rPr>
          <w:rFonts w:cs="Times New Roman"/>
          <w:sz w:val="24"/>
          <w:szCs w:val="24"/>
        </w:rPr>
        <w:instrText xml:space="preserve"> HYPERLINK "https://www.analytik-jena.de/" </w:instrText>
      </w:r>
      <w:r w:rsidR="00E6393C">
        <w:rPr>
          <w:rFonts w:cs="Times New Roman"/>
          <w:sz w:val="24"/>
          <w:szCs w:val="24"/>
        </w:rPr>
        <w:fldChar w:fldCharType="separate"/>
      </w:r>
      <w:r w:rsidRPr="007A748E">
        <w:rPr>
          <w:rFonts w:cs="Times New Roman"/>
          <w:sz w:val="24"/>
          <w:szCs w:val="24"/>
        </w:rPr>
        <w:t>Analytik</w:t>
      </w:r>
      <w:proofErr w:type="spellEnd"/>
      <w:r w:rsidRPr="007A748E">
        <w:rPr>
          <w:rFonts w:cs="Times New Roman"/>
          <w:sz w:val="24"/>
          <w:szCs w:val="24"/>
        </w:rPr>
        <w:t xml:space="preserve"> Jena</w:t>
      </w:r>
      <w:r w:rsidR="00E6393C">
        <w:rPr>
          <w:rFonts w:cs="Times New Roman"/>
          <w:sz w:val="24"/>
          <w:szCs w:val="24"/>
        </w:rPr>
        <w:fldChar w:fldCharType="end"/>
      </w:r>
      <w:r w:rsidRPr="007A748E">
        <w:rPr>
          <w:sz w:val="24"/>
          <w:szCs w:val="24"/>
        </w:rPr>
        <w:t>)</w:t>
      </w:r>
      <w:r w:rsidR="00CE5532" w:rsidRPr="007A748E">
        <w:rPr>
          <w:sz w:val="24"/>
          <w:szCs w:val="24"/>
        </w:rPr>
        <w:t xml:space="preserve">. </w:t>
      </w:r>
      <w:r w:rsidRPr="007A748E">
        <w:rPr>
          <w:sz w:val="24"/>
          <w:szCs w:val="24"/>
        </w:rPr>
        <w:t>A total of nine</w:t>
      </w:r>
      <w:r w:rsidR="00CE5532" w:rsidRPr="007A748E">
        <w:rPr>
          <w:sz w:val="24"/>
          <w:szCs w:val="24"/>
        </w:rPr>
        <w:t xml:space="preserve"> paired-end </w:t>
      </w:r>
      <w:r w:rsidRPr="007A748E">
        <w:rPr>
          <w:sz w:val="24"/>
          <w:szCs w:val="24"/>
        </w:rPr>
        <w:t xml:space="preserve">(PE) </w:t>
      </w:r>
      <w:r w:rsidR="00CE5532" w:rsidRPr="007A748E">
        <w:rPr>
          <w:sz w:val="24"/>
          <w:szCs w:val="24"/>
        </w:rPr>
        <w:t xml:space="preserve">libraries and </w:t>
      </w:r>
      <w:r w:rsidRPr="007A748E">
        <w:rPr>
          <w:sz w:val="24"/>
          <w:szCs w:val="24"/>
        </w:rPr>
        <w:t>nine</w:t>
      </w:r>
      <w:r w:rsidR="00CE5532" w:rsidRPr="007A748E">
        <w:rPr>
          <w:sz w:val="24"/>
          <w:szCs w:val="24"/>
        </w:rPr>
        <w:t xml:space="preserve"> mate-pair </w:t>
      </w:r>
      <w:r w:rsidRPr="007A748E">
        <w:rPr>
          <w:sz w:val="24"/>
          <w:szCs w:val="24"/>
        </w:rPr>
        <w:t xml:space="preserve">(MP) </w:t>
      </w:r>
      <w:r w:rsidR="00CE5532" w:rsidRPr="007A748E">
        <w:rPr>
          <w:sz w:val="24"/>
          <w:szCs w:val="24"/>
        </w:rPr>
        <w:t>libraries</w:t>
      </w:r>
      <w:r w:rsidRPr="007A748E">
        <w:rPr>
          <w:sz w:val="24"/>
          <w:szCs w:val="24"/>
        </w:rPr>
        <w:t>, of different insert sizes,</w:t>
      </w:r>
      <w:r w:rsidR="00CE5532" w:rsidRPr="007A748E">
        <w:rPr>
          <w:sz w:val="24"/>
          <w:szCs w:val="24"/>
        </w:rPr>
        <w:t xml:space="preserve"> were prepared </w:t>
      </w:r>
      <w:r w:rsidR="00C179F4" w:rsidRPr="007A748E">
        <w:rPr>
          <w:sz w:val="24"/>
          <w:szCs w:val="24"/>
        </w:rPr>
        <w:t xml:space="preserve">and sequenced </w:t>
      </w:r>
      <w:r w:rsidRPr="007A748E">
        <w:rPr>
          <w:sz w:val="24"/>
          <w:szCs w:val="24"/>
        </w:rPr>
        <w:t>using the Illumina</w:t>
      </w:r>
      <w:r w:rsidR="00C179F4" w:rsidRPr="007A748E">
        <w:rPr>
          <w:sz w:val="24"/>
          <w:szCs w:val="24"/>
        </w:rPr>
        <w:t xml:space="preserve"> Hiseq2000 </w:t>
      </w:r>
      <w:r w:rsidRPr="007A748E">
        <w:rPr>
          <w:sz w:val="24"/>
          <w:szCs w:val="24"/>
        </w:rPr>
        <w:t xml:space="preserve">platform and a read length of 100 bp (PE) or 50 bp (MP), which yielded </w:t>
      </w:r>
      <w:r w:rsidR="00C179F4" w:rsidRPr="007A748E">
        <w:rPr>
          <w:sz w:val="24"/>
          <w:szCs w:val="24"/>
        </w:rPr>
        <w:t xml:space="preserve">a total </w:t>
      </w:r>
      <w:r w:rsidRPr="007A748E">
        <w:rPr>
          <w:sz w:val="24"/>
          <w:szCs w:val="24"/>
        </w:rPr>
        <w:t>of</w:t>
      </w:r>
      <w:r w:rsidR="00C824C7" w:rsidRPr="007A748E">
        <w:rPr>
          <w:sz w:val="24"/>
          <w:szCs w:val="24"/>
        </w:rPr>
        <w:t xml:space="preserve"> </w:t>
      </w:r>
      <w:r w:rsidR="00C179F4" w:rsidRPr="007A748E">
        <w:rPr>
          <w:sz w:val="24"/>
          <w:szCs w:val="24"/>
        </w:rPr>
        <w:t xml:space="preserve">4,451,211,066 reads </w:t>
      </w:r>
      <w:r w:rsidR="001476D9" w:rsidRPr="007A748E">
        <w:rPr>
          <w:sz w:val="24"/>
          <w:szCs w:val="24"/>
        </w:rPr>
        <w:t xml:space="preserve">(Table </w:t>
      </w:r>
      <w:r w:rsidR="007A748E">
        <w:rPr>
          <w:sz w:val="24"/>
          <w:szCs w:val="24"/>
        </w:rPr>
        <w:t>S</w:t>
      </w:r>
      <w:r w:rsidR="00E6393C">
        <w:rPr>
          <w:sz w:val="24"/>
          <w:szCs w:val="24"/>
        </w:rPr>
        <w:t>3</w:t>
      </w:r>
      <w:bookmarkStart w:id="0" w:name="_GoBack"/>
      <w:bookmarkEnd w:id="0"/>
      <w:r w:rsidR="001476D9" w:rsidRPr="007A748E">
        <w:rPr>
          <w:sz w:val="24"/>
          <w:szCs w:val="24"/>
        </w:rPr>
        <w:t>)</w:t>
      </w:r>
      <w:r w:rsidR="00EF440D" w:rsidRPr="007A748E">
        <w:rPr>
          <w:sz w:val="24"/>
          <w:szCs w:val="24"/>
        </w:rPr>
        <w:t>.</w:t>
      </w:r>
    </w:p>
    <w:p w14:paraId="2C17FA9C" w14:textId="77777777" w:rsidR="00D06D6B" w:rsidRPr="007A748E" w:rsidRDefault="00D06D6B" w:rsidP="007A748E">
      <w:pPr>
        <w:spacing w:line="480" w:lineRule="auto"/>
        <w:jc w:val="both"/>
        <w:rPr>
          <w:sz w:val="24"/>
          <w:szCs w:val="24"/>
        </w:rPr>
      </w:pPr>
    </w:p>
    <w:p w14:paraId="2EF5EE04" w14:textId="77777777" w:rsidR="001476D9" w:rsidRPr="007A748E" w:rsidRDefault="001476D9" w:rsidP="007A748E">
      <w:pPr>
        <w:spacing w:line="480" w:lineRule="auto"/>
        <w:jc w:val="both"/>
        <w:rPr>
          <w:b/>
          <w:sz w:val="24"/>
          <w:szCs w:val="24"/>
        </w:rPr>
      </w:pPr>
      <w:r w:rsidRPr="007A748E">
        <w:rPr>
          <w:b/>
          <w:sz w:val="24"/>
          <w:szCs w:val="24"/>
        </w:rPr>
        <w:t xml:space="preserve">Preprocessing and evaluation of </w:t>
      </w:r>
      <w:r w:rsidR="009F2E5A" w:rsidRPr="007A748E">
        <w:rPr>
          <w:b/>
          <w:sz w:val="24"/>
          <w:szCs w:val="24"/>
        </w:rPr>
        <w:t xml:space="preserve">high-throughput sequence </w:t>
      </w:r>
      <w:r w:rsidRPr="007A748E">
        <w:rPr>
          <w:b/>
          <w:sz w:val="24"/>
          <w:szCs w:val="24"/>
        </w:rPr>
        <w:t>data</w:t>
      </w:r>
    </w:p>
    <w:p w14:paraId="2BB8E3E6" w14:textId="77777777" w:rsidR="001476D9" w:rsidRPr="007A748E" w:rsidRDefault="001476D9" w:rsidP="007A748E">
      <w:pPr>
        <w:spacing w:line="480" w:lineRule="auto"/>
        <w:jc w:val="both"/>
        <w:rPr>
          <w:sz w:val="24"/>
          <w:szCs w:val="24"/>
        </w:rPr>
      </w:pPr>
      <w:r w:rsidRPr="007A748E">
        <w:rPr>
          <w:sz w:val="24"/>
          <w:szCs w:val="24"/>
        </w:rPr>
        <w:t>Sickle</w:t>
      </w:r>
      <w:r w:rsidR="00931153" w:rsidRPr="007A748E">
        <w:rPr>
          <w:sz w:val="24"/>
          <w:szCs w:val="24"/>
        </w:rPr>
        <w:t xml:space="preserve"> </w:t>
      </w:r>
      <w:r w:rsidR="00931153" w:rsidRPr="007A748E">
        <w:rPr>
          <w:sz w:val="24"/>
          <w:szCs w:val="24"/>
        </w:rPr>
        <w:fldChar w:fldCharType="begin" w:fldLock="1"/>
      </w:r>
      <w:r w:rsidR="00C82A3B" w:rsidRPr="007A748E">
        <w:rPr>
          <w:sz w:val="24"/>
          <w:szCs w:val="24"/>
        </w:rPr>
        <w:instrText>ADDIN CSL_CITATION { "citationItems" : [ { "id" : "ITEM-1", "itemData" : { "author" : [ { "dropping-particle" : "", "family" : "Joshi NA", "given" : "Fass JN", "non-dropping-particle" : "", "parse-names" : false, "suffix" : "" } ], "id" : "ITEM-1", "issued" : { "date-parts" : [ [ "2011" ] ] }, "number" : "Version 1.33", "title" : "Sickle: A sliding-window, adaptive, quality-based trimming tool for FastQ files", "type" : "article" }, "uris" : [ "http://www.mendeley.com/documents/?uuid=f09d297e-97d6-4090-a392-3666ca963de5" ] } ], "mendeley" : { "formattedCitation" : "[1]", "plainTextFormattedCitation" : "[1]", "previouslyFormattedCitation" : "[1]" }, "properties" : { "noteIndex" : 0 }, "schema" : "https://github.com/citation-style-language/schema/raw/master/csl-citation.json" }</w:instrText>
      </w:r>
      <w:r w:rsidR="00931153" w:rsidRPr="007A748E">
        <w:rPr>
          <w:sz w:val="24"/>
          <w:szCs w:val="24"/>
        </w:rPr>
        <w:fldChar w:fldCharType="separate"/>
      </w:r>
      <w:r w:rsidR="00931153" w:rsidRPr="007A748E">
        <w:rPr>
          <w:noProof/>
          <w:sz w:val="24"/>
          <w:szCs w:val="24"/>
        </w:rPr>
        <w:t>[1]</w:t>
      </w:r>
      <w:r w:rsidR="00931153" w:rsidRPr="007A748E">
        <w:rPr>
          <w:sz w:val="24"/>
          <w:szCs w:val="24"/>
        </w:rPr>
        <w:fldChar w:fldCharType="end"/>
      </w:r>
      <w:r w:rsidRPr="007A748E">
        <w:rPr>
          <w:sz w:val="24"/>
          <w:szCs w:val="24"/>
        </w:rPr>
        <w:t xml:space="preserve"> was used to filter</w:t>
      </w:r>
      <w:r w:rsidR="004726B2" w:rsidRPr="007A748E">
        <w:rPr>
          <w:sz w:val="24"/>
          <w:szCs w:val="24"/>
        </w:rPr>
        <w:t xml:space="preserve"> out</w:t>
      </w:r>
      <w:r w:rsidRPr="007A748E">
        <w:rPr>
          <w:sz w:val="24"/>
          <w:szCs w:val="24"/>
        </w:rPr>
        <w:t xml:space="preserve"> </w:t>
      </w:r>
      <w:r w:rsidR="009F2E5A" w:rsidRPr="007A748E">
        <w:rPr>
          <w:sz w:val="24"/>
          <w:szCs w:val="24"/>
        </w:rPr>
        <w:t xml:space="preserve">the </w:t>
      </w:r>
      <w:r w:rsidRPr="007A748E">
        <w:rPr>
          <w:sz w:val="24"/>
          <w:szCs w:val="24"/>
        </w:rPr>
        <w:t>reads</w:t>
      </w:r>
      <w:r w:rsidR="009F2E5A" w:rsidRPr="007A748E">
        <w:rPr>
          <w:sz w:val="24"/>
          <w:szCs w:val="24"/>
        </w:rPr>
        <w:t>, using as criteria minimum</w:t>
      </w:r>
      <w:r w:rsidRPr="007A748E">
        <w:rPr>
          <w:sz w:val="24"/>
          <w:szCs w:val="24"/>
        </w:rPr>
        <w:t xml:space="preserve"> quality </w:t>
      </w:r>
      <w:r w:rsidR="004726B2" w:rsidRPr="007A748E">
        <w:rPr>
          <w:sz w:val="24"/>
          <w:szCs w:val="24"/>
        </w:rPr>
        <w:t xml:space="preserve">(20) </w:t>
      </w:r>
      <w:r w:rsidR="009F2E5A" w:rsidRPr="007A748E">
        <w:rPr>
          <w:sz w:val="24"/>
          <w:szCs w:val="24"/>
        </w:rPr>
        <w:t>and read</w:t>
      </w:r>
      <w:r w:rsidR="004726B2" w:rsidRPr="007A748E">
        <w:rPr>
          <w:sz w:val="24"/>
          <w:szCs w:val="24"/>
        </w:rPr>
        <w:t xml:space="preserve"> length (80</w:t>
      </w:r>
      <w:r w:rsidR="009F2E5A" w:rsidRPr="007A748E">
        <w:rPr>
          <w:sz w:val="24"/>
          <w:szCs w:val="24"/>
        </w:rPr>
        <w:t xml:space="preserve"> </w:t>
      </w:r>
      <w:r w:rsidR="004726B2" w:rsidRPr="007A748E">
        <w:rPr>
          <w:sz w:val="24"/>
          <w:szCs w:val="24"/>
        </w:rPr>
        <w:t xml:space="preserve">bp </w:t>
      </w:r>
      <w:r w:rsidR="009F2E5A" w:rsidRPr="007A748E">
        <w:rPr>
          <w:sz w:val="24"/>
          <w:szCs w:val="24"/>
        </w:rPr>
        <w:t xml:space="preserve">and 40 bp for the PE and MP </w:t>
      </w:r>
      <w:r w:rsidR="004726B2" w:rsidRPr="007A748E">
        <w:rPr>
          <w:sz w:val="24"/>
          <w:szCs w:val="24"/>
        </w:rPr>
        <w:t>libraries</w:t>
      </w:r>
      <w:r w:rsidR="009F2E5A" w:rsidRPr="007A748E">
        <w:rPr>
          <w:sz w:val="24"/>
          <w:szCs w:val="24"/>
        </w:rPr>
        <w:t>, respectively</w:t>
      </w:r>
      <w:r w:rsidR="004726B2" w:rsidRPr="007A748E">
        <w:rPr>
          <w:sz w:val="24"/>
          <w:szCs w:val="24"/>
        </w:rPr>
        <w:t xml:space="preserve">). Furthermore, any read with an ambiguous base (N) was </w:t>
      </w:r>
      <w:r w:rsidR="009F2E5A" w:rsidRPr="007A748E">
        <w:rPr>
          <w:sz w:val="24"/>
          <w:szCs w:val="24"/>
        </w:rPr>
        <w:t>also</w:t>
      </w:r>
      <w:r w:rsidR="004726B2" w:rsidRPr="007A748E">
        <w:rPr>
          <w:sz w:val="24"/>
          <w:szCs w:val="24"/>
        </w:rPr>
        <w:t xml:space="preserve"> discarded (Table 1)</w:t>
      </w:r>
      <w:r w:rsidR="00AF3603" w:rsidRPr="007A748E">
        <w:rPr>
          <w:sz w:val="24"/>
          <w:szCs w:val="24"/>
        </w:rPr>
        <w:t xml:space="preserve">. </w:t>
      </w:r>
      <w:r w:rsidR="009F2E5A" w:rsidRPr="007A748E">
        <w:rPr>
          <w:sz w:val="24"/>
          <w:szCs w:val="24"/>
        </w:rPr>
        <w:t xml:space="preserve">After removal of the low quality reads a total of 83.1% (PE) and 85.3% (MP) from the initial number of reads remained in the dataset. </w:t>
      </w:r>
      <w:r w:rsidR="00AF3603" w:rsidRPr="007A748E">
        <w:rPr>
          <w:sz w:val="24"/>
          <w:szCs w:val="24"/>
        </w:rPr>
        <w:t xml:space="preserve">Genome size </w:t>
      </w:r>
      <w:proofErr w:type="spellStart"/>
      <w:r w:rsidR="00AF3603" w:rsidRPr="007A748E">
        <w:rPr>
          <w:sz w:val="24"/>
          <w:szCs w:val="24"/>
        </w:rPr>
        <w:t>size</w:t>
      </w:r>
      <w:proofErr w:type="spellEnd"/>
      <w:r w:rsidR="00AF3603" w:rsidRPr="007A748E">
        <w:rPr>
          <w:sz w:val="24"/>
          <w:szCs w:val="24"/>
        </w:rPr>
        <w:t xml:space="preserve"> estimations</w:t>
      </w:r>
      <w:r w:rsidR="00C82A3B" w:rsidRPr="007A748E">
        <w:rPr>
          <w:sz w:val="24"/>
          <w:szCs w:val="24"/>
        </w:rPr>
        <w:t xml:space="preserve"> were done</w:t>
      </w:r>
      <w:r w:rsidR="009F2E5A" w:rsidRPr="007A748E">
        <w:rPr>
          <w:sz w:val="24"/>
          <w:szCs w:val="24"/>
        </w:rPr>
        <w:t xml:space="preserve"> with the PE </w:t>
      </w:r>
      <w:r w:rsidR="000C0D0C" w:rsidRPr="007A748E">
        <w:rPr>
          <w:sz w:val="24"/>
          <w:szCs w:val="24"/>
        </w:rPr>
        <w:t>reads using</w:t>
      </w:r>
      <w:r w:rsidR="00C82A3B" w:rsidRPr="007A748E">
        <w:rPr>
          <w:sz w:val="24"/>
          <w:szCs w:val="24"/>
        </w:rPr>
        <w:t xml:space="preserve"> SGA </w:t>
      </w:r>
      <w:proofErr w:type="spellStart"/>
      <w:r w:rsidR="00C82A3B" w:rsidRPr="007A748E">
        <w:rPr>
          <w:sz w:val="24"/>
          <w:szCs w:val="24"/>
        </w:rPr>
        <w:t>preqc</w:t>
      </w:r>
      <w:proofErr w:type="spellEnd"/>
      <w:r w:rsidR="00C82A3B" w:rsidRPr="007A748E">
        <w:rPr>
          <w:sz w:val="24"/>
          <w:szCs w:val="24"/>
        </w:rPr>
        <w:t xml:space="preserve"> module </w:t>
      </w:r>
      <w:r w:rsidR="00C82A3B" w:rsidRPr="007A748E">
        <w:rPr>
          <w:sz w:val="24"/>
          <w:szCs w:val="24"/>
        </w:rPr>
        <w:fldChar w:fldCharType="begin" w:fldLock="1"/>
      </w:r>
      <w:r w:rsidR="00C82A3B" w:rsidRPr="007A748E">
        <w:rPr>
          <w:sz w:val="24"/>
          <w:szCs w:val="24"/>
        </w:rPr>
        <w:instrText>ADDIN CSL_CITATION { "citationItems" : [ { "id" : "ITEM-1", "itemData" : { "abstract" : "The de novo assembly of large, complex genomes is a significant challenge with currently available DNA sequencing technology. While many de novo assembly software packages are available, comparatively little attention has been paid to assisting the user with the assembly. This paper addresses the practical aspects of de novo assembly by introducing new ways to perform quality assessment on a collection of DNA sequence reads. The software implementation calculates per-base error rates, paired-end fragment size histograms and coverage metrics in the absence of a reference genome. Additionally, the software will estimate characteristics of the sequenced genome, such as repeat content and heterozygosity, that are key determinants of assembly difficulty. The software described is freely available and open source under the GNU Public License.", "author" : [ { "dropping-particle" : "", "family" : "Simpson", "given" : "Jared T.", "non-dropping-particle" : "", "parse-names" : false, "suffix" : "" } ], "genre" : "Genomics", "id" : "ITEM-1", "issued" : { "date-parts" : [ [ "2013", "7", "30" ] ] }, "title" : "Exploring Genome Characteristics and Sequence Quality Without a Reference", "type" : "article-journal" }, "uris" : [ "http://www.mendeley.com/documents/?uuid=62885038-e417-44a4-91bb-e3fad8b8013d" ] } ], "mendeley" : { "formattedCitation" : "[2]", "plainTextFormattedCitation" : "[2]", "previouslyFormattedCitation" : "[2]" }, "properties" : { "noteIndex" : 0 }, "schema" : "https://github.com/citation-style-language/schema/raw/master/csl-citation.json" }</w:instrText>
      </w:r>
      <w:r w:rsidR="00C82A3B" w:rsidRPr="007A748E">
        <w:rPr>
          <w:sz w:val="24"/>
          <w:szCs w:val="24"/>
        </w:rPr>
        <w:fldChar w:fldCharType="separate"/>
      </w:r>
      <w:r w:rsidR="00C82A3B" w:rsidRPr="007A748E">
        <w:rPr>
          <w:noProof/>
          <w:sz w:val="24"/>
          <w:szCs w:val="24"/>
        </w:rPr>
        <w:t>[2]</w:t>
      </w:r>
      <w:r w:rsidR="00C82A3B" w:rsidRPr="007A748E">
        <w:rPr>
          <w:sz w:val="24"/>
          <w:szCs w:val="24"/>
        </w:rPr>
        <w:fldChar w:fldCharType="end"/>
      </w:r>
      <w:r w:rsidR="00C82A3B" w:rsidRPr="007A748E">
        <w:rPr>
          <w:sz w:val="24"/>
          <w:szCs w:val="24"/>
        </w:rPr>
        <w:t>, which extends the k-</w:t>
      </w:r>
      <w:proofErr w:type="spellStart"/>
      <w:r w:rsidR="00C82A3B" w:rsidRPr="007A748E">
        <w:rPr>
          <w:sz w:val="24"/>
          <w:szCs w:val="24"/>
        </w:rPr>
        <w:t>mer</w:t>
      </w:r>
      <w:proofErr w:type="spellEnd"/>
      <w:r w:rsidR="00C82A3B" w:rsidRPr="007A748E">
        <w:rPr>
          <w:sz w:val="24"/>
          <w:szCs w:val="24"/>
        </w:rPr>
        <w:t xml:space="preserve"> count based analysis by </w:t>
      </w:r>
      <w:r w:rsidR="000C0D0C" w:rsidRPr="007A748E">
        <w:rPr>
          <w:sz w:val="24"/>
          <w:szCs w:val="24"/>
        </w:rPr>
        <w:t xml:space="preserve">including methods </w:t>
      </w:r>
      <w:r w:rsidR="00447FF9" w:rsidRPr="007A748E">
        <w:rPr>
          <w:sz w:val="24"/>
          <w:szCs w:val="24"/>
        </w:rPr>
        <w:t>to explicitly distinguish true genomic k-</w:t>
      </w:r>
      <w:proofErr w:type="spellStart"/>
      <w:r w:rsidR="00447FF9" w:rsidRPr="007A748E">
        <w:rPr>
          <w:sz w:val="24"/>
          <w:szCs w:val="24"/>
        </w:rPr>
        <w:t>mers</w:t>
      </w:r>
      <w:proofErr w:type="spellEnd"/>
      <w:r w:rsidR="00447FF9" w:rsidRPr="007A748E">
        <w:rPr>
          <w:sz w:val="24"/>
          <w:szCs w:val="24"/>
        </w:rPr>
        <w:t xml:space="preserve"> from artificial k-</w:t>
      </w:r>
      <w:proofErr w:type="spellStart"/>
      <w:r w:rsidR="00447FF9" w:rsidRPr="007A748E">
        <w:rPr>
          <w:sz w:val="24"/>
          <w:szCs w:val="24"/>
        </w:rPr>
        <w:t>mers</w:t>
      </w:r>
      <w:proofErr w:type="spellEnd"/>
      <w:r w:rsidR="00447FF9" w:rsidRPr="007A748E">
        <w:rPr>
          <w:sz w:val="24"/>
          <w:szCs w:val="24"/>
        </w:rPr>
        <w:t xml:space="preserve"> containing sequencing errors. The predicted </w:t>
      </w:r>
      <w:r w:rsidR="000C0D0C" w:rsidRPr="007A748E">
        <w:rPr>
          <w:sz w:val="24"/>
          <w:szCs w:val="24"/>
        </w:rPr>
        <w:t xml:space="preserve">genome size was 715.9 Mb, which </w:t>
      </w:r>
      <w:r w:rsidR="00244E5D" w:rsidRPr="007A748E">
        <w:rPr>
          <w:sz w:val="24"/>
          <w:szCs w:val="24"/>
        </w:rPr>
        <w:t>represented a sm</w:t>
      </w:r>
      <w:r w:rsidR="008A79E1" w:rsidRPr="007A748E">
        <w:rPr>
          <w:sz w:val="24"/>
          <w:szCs w:val="24"/>
        </w:rPr>
        <w:t xml:space="preserve">aller size </w:t>
      </w:r>
      <w:r w:rsidR="009F2E5A" w:rsidRPr="007A748E">
        <w:rPr>
          <w:sz w:val="24"/>
          <w:szCs w:val="24"/>
        </w:rPr>
        <w:t>when compared with</w:t>
      </w:r>
      <w:r w:rsidR="008A79E1" w:rsidRPr="007A748E">
        <w:rPr>
          <w:sz w:val="24"/>
          <w:szCs w:val="24"/>
        </w:rPr>
        <w:t xml:space="preserve"> previous flow cytometry estimations </w:t>
      </w:r>
      <w:r w:rsidR="008A79E1" w:rsidRPr="007A748E">
        <w:rPr>
          <w:sz w:val="24"/>
          <w:szCs w:val="24"/>
        </w:rPr>
        <w:fldChar w:fldCharType="begin" w:fldLock="1"/>
      </w:r>
      <w:r w:rsidR="008A79E1" w:rsidRPr="007A748E">
        <w:rPr>
          <w:sz w:val="24"/>
          <w:szCs w:val="24"/>
        </w:rPr>
        <w:instrText>ADDIN CSL_CITATION { "citationItems" : [ { "id" : "ITEM-1", "itemData" : { "DOI" : "10.1139/g98-006", "ISSN" : "0831-2796", "abstract" : "Seven Quercus species, four deciduous (Q. cerris, Q. petraea, Q. pubescens, andQ. robur) and three evergreen (Q. coccifera, Q. ilex, andQ. suber), were assessed for DNA content. Their genome sizes ranged from 1.88 to 2.00 pg/2C, namely an interspecific DNA content variation of 6%. In addition, the DNA content of several populations of Q. petraea andQ. robur with different geographical origins, French and Croatian, was estimated. DNA content did not vary among four populations of Q. robur, but did differ between two populations of Q. petraea, the French population having a higher 2C DNA value than the Croatian. The genome size of this French population showed important dispersion among 10 measured individuals. This was in accordance with subsequent cytogenetic data that revealed extra chromosomes in some individuals from this population. The percent GC varied little between the species; a GC content of 39.9% is established as typical for oak.Key words: Quercus, flow cytometry, genome size, GC percent, DNA ...", "author" : [ { "dropping-particle" : "", "family" : "Zoldos", "given" : "V", "non-dropping-particle" : "", "parse-names" : false, "suffix" : "" }, { "dropping-particle" : "", "family" : "Papes", "given" : "D", "non-dropping-particle" : "", "parse-names" : false, "suffix" : "" }, { "dropping-particle" : "", "family" : "Brown", "given" : "S C", "non-dropping-particle" : "", "parse-names" : false, "suffix" : "" }, { "dropping-particle" : "", "family" : "Panaud", "given" : "O", "non-dropping-particle" : "", "parse-names" : false, "suffix" : "" }, { "dropping-particle" : "", "family" : "Siljak-Yakovlev", "given" : "S", "non-dropping-particle" : "", "parse-names" : false, "suffix" : "" } ], "container-title" : "Genome", "id" : "ITEM-1", "issue" : "2", "issued" : { "date-parts" : [ [ "1998", "4" ] ] }, "page" : "162-168", "publisher" : " NRC Research Press Ottawa, Canada ", "title" : "Genome size and base composition of seven &lt;i&gt;Quercus&lt;/i&gt; species: inter- and intra-population variation", "type" : "article-journal", "volume" : "41" }, "uris" : [ "http://www.mendeley.com/documents/?uuid=d73107dd-8987-3119-afa2-82351214d35c" ] } ], "mendeley" : { "formattedCitation" : "[3]", "plainTextFormattedCitation" : "[3]" }, "properties" : { "noteIndex" : 0 }, "schema" : "https://github.com/citation-style-language/schema/raw/master/csl-citation.json" }</w:instrText>
      </w:r>
      <w:r w:rsidR="008A79E1" w:rsidRPr="007A748E">
        <w:rPr>
          <w:sz w:val="24"/>
          <w:szCs w:val="24"/>
        </w:rPr>
        <w:fldChar w:fldCharType="separate"/>
      </w:r>
      <w:r w:rsidR="008A79E1" w:rsidRPr="007A748E">
        <w:rPr>
          <w:noProof/>
          <w:sz w:val="24"/>
          <w:szCs w:val="24"/>
        </w:rPr>
        <w:t>[3]</w:t>
      </w:r>
      <w:r w:rsidR="008A79E1" w:rsidRPr="007A748E">
        <w:rPr>
          <w:sz w:val="24"/>
          <w:szCs w:val="24"/>
        </w:rPr>
        <w:fldChar w:fldCharType="end"/>
      </w:r>
      <w:r w:rsidR="009F2E5A" w:rsidRPr="007A748E">
        <w:rPr>
          <w:sz w:val="24"/>
          <w:szCs w:val="24"/>
        </w:rPr>
        <w:t>.</w:t>
      </w:r>
    </w:p>
    <w:p w14:paraId="6F0BBD3A" w14:textId="77777777" w:rsidR="009F2E5A" w:rsidRPr="007A748E" w:rsidRDefault="009F2E5A" w:rsidP="007A748E">
      <w:pPr>
        <w:spacing w:line="480" w:lineRule="auto"/>
        <w:jc w:val="both"/>
        <w:rPr>
          <w:sz w:val="24"/>
          <w:szCs w:val="24"/>
        </w:rPr>
      </w:pPr>
    </w:p>
    <w:p w14:paraId="30674FA2" w14:textId="77777777" w:rsidR="00E01400" w:rsidRPr="007A748E" w:rsidRDefault="00E01400" w:rsidP="007A748E">
      <w:pPr>
        <w:spacing w:line="480" w:lineRule="auto"/>
        <w:jc w:val="both"/>
        <w:rPr>
          <w:b/>
          <w:sz w:val="24"/>
          <w:szCs w:val="24"/>
        </w:rPr>
      </w:pPr>
      <w:r w:rsidRPr="007A748E">
        <w:rPr>
          <w:b/>
          <w:sz w:val="24"/>
          <w:szCs w:val="24"/>
        </w:rPr>
        <w:t>Genome assembly and scaffolding</w:t>
      </w:r>
    </w:p>
    <w:p w14:paraId="0666D38B" w14:textId="77777777" w:rsidR="009F2E5A" w:rsidRPr="007A748E" w:rsidRDefault="001E5ED1" w:rsidP="007A748E">
      <w:pPr>
        <w:spacing w:line="480" w:lineRule="auto"/>
        <w:jc w:val="both"/>
        <w:rPr>
          <w:sz w:val="24"/>
          <w:szCs w:val="24"/>
        </w:rPr>
      </w:pPr>
      <w:r w:rsidRPr="007A748E">
        <w:rPr>
          <w:sz w:val="24"/>
          <w:szCs w:val="24"/>
        </w:rPr>
        <w:lastRenderedPageBreak/>
        <w:t xml:space="preserve">Paired-end reads were assembled with Ray v2.3.1 </w:t>
      </w:r>
      <w:r w:rsidR="006D1934" w:rsidRPr="007A748E">
        <w:rPr>
          <w:sz w:val="24"/>
          <w:szCs w:val="24"/>
        </w:rPr>
        <w:fldChar w:fldCharType="begin" w:fldLock="1"/>
      </w:r>
      <w:r w:rsidR="008A79E1" w:rsidRPr="007A748E">
        <w:rPr>
          <w:sz w:val="24"/>
          <w:szCs w:val="24"/>
        </w:rPr>
        <w:instrText>ADDIN CSL_CITATION { "citationItems" : [ { "id" : "ITEM-1", "itemData" : { "DOI" : "10.1089/cmb.2009.0238", "ISSN" : "1557-8666", "PMID" : "20958248", "abstract" : "An accurate genome sequence of a desired species is now a pre-requisite for genome research. An important step in obtaining a high-quality genome sequence is to correctly assemble short reads into longer sequences accurately representing contiguous genomic regions. Current sequencing technologies continue to offer increases in throughput, and corresponding reductions in cost and time. Unfortunately, the benefit of obtaining a large number of reads is complicated by sequencing errors, with different biases being observed with each platform. Although software are available to assemble reads for each individual system, no procedure has been proposed for high-quality simultaneous assembly based on reads from a mix of different technologies. In this paper, we describe a parallel short-read assembler, called Ray, which has been developed to assemble reads obtained from a combination of sequencing platforms. We compared its performance to other assemblers on simulated and real datasets. We used a combination of Roche/454 and Illumina reads to assemble three different genomes. We showed that mixing sequencing technologies systematically reduces the number of contigs and the number of errors. Because of its open nature, this new tool will hopefully serve as a basis to develop an assembler that can be of universal utilization (availability: http://deNovoAssembler.sf.Net/). For online Supplementary Material , see www.liebertonline.com.", "author" : [ { "dropping-particle" : "", "family" : "Boisvert", "given" : "S\u00e9bastien", "non-dropping-particle" : "", "parse-names" : false, "suffix" : "" }, { "dropping-particle" : "", "family" : "Laviolette", "given" : "Fran\u00e7ois", "non-dropping-particle" : "", "parse-names" : false, "suffix" : "" }, { "dropping-particle" : "", "family" : "Corbeil", "given" : "Jacques", "non-dropping-particle" : "", "parse-names" : false, "suffix" : "" } ], "container-title" : "Journal of computational biology : a journal of computational molecular cell biology", "id" : "ITEM-1", "issue" : "11", "issued" : { "date-parts" : [ [ "2010", "11" ] ] }, "page" : "1519-33", "publisher" : "Mary Ann Liebert, Inc.", "title" : "Ray: simultaneous assembly of reads from a mix of high-throughput sequencing technologies.", "type" : "article-journal", "volume" : "17" }, "uris" : [ "http://www.mendeley.com/documents/?uuid=b81e98f9-4269-384c-9125-cb1e25693589" ] } ], "mendeley" : { "formattedCitation" : "[4]", "plainTextFormattedCitation" : "[4]", "previouslyFormattedCitation" : "[3]" }, "properties" : { "noteIndex" : 0 }, "schema" : "https://github.com/citation-style-language/schema/raw/master/csl-citation.json" }</w:instrText>
      </w:r>
      <w:r w:rsidR="006D1934" w:rsidRPr="007A748E">
        <w:rPr>
          <w:sz w:val="24"/>
          <w:szCs w:val="24"/>
        </w:rPr>
        <w:fldChar w:fldCharType="separate"/>
      </w:r>
      <w:r w:rsidR="008A79E1" w:rsidRPr="007A748E">
        <w:rPr>
          <w:noProof/>
          <w:sz w:val="24"/>
          <w:szCs w:val="24"/>
        </w:rPr>
        <w:t>[4]</w:t>
      </w:r>
      <w:r w:rsidR="006D1934" w:rsidRPr="007A748E">
        <w:rPr>
          <w:sz w:val="24"/>
          <w:szCs w:val="24"/>
        </w:rPr>
        <w:fldChar w:fldCharType="end"/>
      </w:r>
      <w:r w:rsidR="006D1934" w:rsidRPr="007A748E">
        <w:rPr>
          <w:sz w:val="24"/>
          <w:szCs w:val="24"/>
        </w:rPr>
        <w:t xml:space="preserve"> </w:t>
      </w:r>
      <w:r w:rsidR="00A7130B" w:rsidRPr="007A748E">
        <w:rPr>
          <w:sz w:val="24"/>
          <w:szCs w:val="24"/>
        </w:rPr>
        <w:t>with a k-</w:t>
      </w:r>
      <w:proofErr w:type="spellStart"/>
      <w:r w:rsidR="00A7130B" w:rsidRPr="007A748E">
        <w:rPr>
          <w:sz w:val="24"/>
          <w:szCs w:val="24"/>
        </w:rPr>
        <w:t>mer</w:t>
      </w:r>
      <w:proofErr w:type="spellEnd"/>
      <w:r w:rsidR="00A7130B" w:rsidRPr="007A748E">
        <w:rPr>
          <w:sz w:val="24"/>
          <w:szCs w:val="24"/>
        </w:rPr>
        <w:t xml:space="preserve"> size of 81. Mate-pair libraries were mapped onto the Ray assembly with bowtie2 v2.2.7 </w:t>
      </w:r>
      <w:r w:rsidR="00A7130B" w:rsidRPr="007A748E">
        <w:rPr>
          <w:sz w:val="24"/>
          <w:szCs w:val="24"/>
        </w:rPr>
        <w:fldChar w:fldCharType="begin" w:fldLock="1"/>
      </w:r>
      <w:r w:rsidR="008A79E1" w:rsidRPr="007A748E">
        <w:rPr>
          <w:sz w:val="24"/>
          <w:szCs w:val="24"/>
        </w:rPr>
        <w:instrText>ADDIN CSL_CITATION { "citationItems" : [ { "id" : "ITEM-1", "itemData" : { "DOI" : "10.1038/nmeth.1923", "ISSN" : "1548-7105", "PMID" : "22388286", "abstract" : "As the rate of sequencing increases, greater throughput is demanded from read aligners. The full-text minute index is often used to make alignment very fast and memory-efficient, but the approach is ill-suited to finding longer, gapped alignments. Bowtie 2 combines the strengths of the full-text minute index with the flexibility and speed of hardware-accelerated dynamic programming algorithms to achieve a combination of high speed, sensitivity and accuracy.", "author" : [ { "dropping-particle" : "", "family" : "Langmead", "given" : "Ben", "non-dropping-particle" : "", "parse-names" : false, "suffix" : "" }, { "dropping-particle" : "", "family" : "Salzberg", "given" : "Steven L", "non-dropping-particle" : "", "parse-names" : false, "suffix" : "" } ], "container-title" : "Nature methods", "id" : "ITEM-1", "issue" : "4", "issued" : { "date-parts" : [ [ "2012", "4" ] ] }, "page" : "357-9", "publisher" : "Nature Publishing Group, a division of Macmillan Publishers Limited. All Rights Reserved.", "title" : "Fast gapped-read alignment with Bowtie 2.", "title-short" : "Nat Meth", "type" : "article-journal", "volume" : "9" }, "uris" : [ "http://www.mendeley.com/documents/?uuid=634d4e63-17ff-46fd-ab26-bab48fb0338e" ] } ], "mendeley" : { "formattedCitation" : "[5]", "plainTextFormattedCitation" : "[5]", "previouslyFormattedCitation" : "[4]" }, "properties" : { "noteIndex" : 0 }, "schema" : "https://github.com/citation-style-language/schema/raw/master/csl-citation.json" }</w:instrText>
      </w:r>
      <w:r w:rsidR="00A7130B" w:rsidRPr="007A748E">
        <w:rPr>
          <w:sz w:val="24"/>
          <w:szCs w:val="24"/>
        </w:rPr>
        <w:fldChar w:fldCharType="separate"/>
      </w:r>
      <w:r w:rsidR="008A79E1" w:rsidRPr="007A748E">
        <w:rPr>
          <w:noProof/>
          <w:sz w:val="24"/>
          <w:szCs w:val="24"/>
        </w:rPr>
        <w:t>[5]</w:t>
      </w:r>
      <w:r w:rsidR="00A7130B" w:rsidRPr="007A748E">
        <w:rPr>
          <w:sz w:val="24"/>
          <w:szCs w:val="24"/>
        </w:rPr>
        <w:fldChar w:fldCharType="end"/>
      </w:r>
      <w:r w:rsidR="00A7130B" w:rsidRPr="007A748E">
        <w:rPr>
          <w:sz w:val="24"/>
          <w:szCs w:val="24"/>
        </w:rPr>
        <w:t xml:space="preserve"> and those alignments were used to </w:t>
      </w:r>
      <w:r w:rsidR="009F2E5A" w:rsidRPr="007A748E">
        <w:rPr>
          <w:sz w:val="24"/>
          <w:szCs w:val="24"/>
        </w:rPr>
        <w:t>scaffold the genome using</w:t>
      </w:r>
      <w:r w:rsidR="00A7130B" w:rsidRPr="007A748E">
        <w:rPr>
          <w:sz w:val="24"/>
          <w:szCs w:val="24"/>
        </w:rPr>
        <w:t xml:space="preserve"> BESST</w:t>
      </w:r>
      <w:r w:rsidR="00D02DAD" w:rsidRPr="007A748E">
        <w:rPr>
          <w:sz w:val="24"/>
          <w:szCs w:val="24"/>
        </w:rPr>
        <w:t xml:space="preserve"> </w:t>
      </w:r>
      <w:r w:rsidR="00934CEA" w:rsidRPr="007A748E">
        <w:rPr>
          <w:sz w:val="24"/>
          <w:szCs w:val="24"/>
        </w:rPr>
        <w:t xml:space="preserve">v1.3 </w:t>
      </w:r>
      <w:r w:rsidR="00934CEA" w:rsidRPr="007A748E">
        <w:rPr>
          <w:sz w:val="24"/>
          <w:szCs w:val="24"/>
        </w:rPr>
        <w:fldChar w:fldCharType="begin" w:fldLock="1"/>
      </w:r>
      <w:r w:rsidR="008A79E1" w:rsidRPr="007A748E">
        <w:rPr>
          <w:sz w:val="24"/>
          <w:szCs w:val="24"/>
        </w:rPr>
        <w:instrText>ADDIN CSL_CITATION { "citationItems" : [ { "id" : "ITEM-1", "itemData" : { "DOI" : "10.1186/1471-2105-15-281", "ISSN" : "1471-2105", "PMID" : "25128196", "abstract" : "BACKGROUND: The use of short reads from High Throughput Sequencing (HTS) techniques is now commonplace in de novo assembly. Yet, obtaining contiguous assemblies from short reads is challenging, thus making scaffolding an important step in the assembly pipeline. Different algorithms have been proposed but many of them use the number of read pairs supporting a linking of two contigs as an indicator of reliability. This reasoning is intuitive, but fails to account for variation in link count due to contig features.We have also noted that published scaffolders are only evaluated on small datasets using output from only one assembler. Two issues arise from this. Firstly, some of the available tools are not well suited for complex genomes. Secondly, these evaluations provide little support for inferring a software's general performance.\n\nRESULTS: We propose a new algorithm, implemented in a tool called BESST, which can scaffold genomes of all sizes and complexities and was used to scaffold the genome of P. abies (20 Gbp). We performed a comprehensive comparison of BESST against the most popular stand-alone scaffolders on a large variety of datasets. Our results confirm that some of the popular scaffolders are not practical to run on complex datasets. Furthermore, no single stand-alone scaffolder outperforms the others on all datasets. However, BESST fares favorably to the other tested scaffolders on GAGE datasets and, moreover, outperforms the other methods when library insert size distribution is wide.\n\nCONCLUSION: We conclude from our results that information sources other than the quantity of links, as is commonly used, can provide useful information about genome structure when scaffolding.", "author" : [ { "dropping-particle" : "", "family" : "Sahlin", "given" : "Kristoffer", "non-dropping-particle" : "", "parse-names" : false, "suffix" : "" }, { "dropping-particle" : "", "family" : "Vezzi", "given" : "Francesco", "non-dropping-particle" : "", "parse-names" : false, "suffix" : "" }, { "dropping-particle" : "", "family" : "Nystedt", "given" : "Bj\u00f6rn", "non-dropping-particle" : "", "parse-names" : false, "suffix" : "" }, { "dropping-particle" : "", "family" : "Lundeberg", "given" : "Joakim", "non-dropping-particle" : "", "parse-names" : false, "suffix" : "" }, { "dropping-particle" : "", "family" : "Arvestad", "given" : "Lars", "non-dropping-particle" : "", "parse-names" : false, "suffix" : "" } ], "container-title" : "BMC bioinformatics", "id" : "ITEM-1", "issued" : { "date-parts" : [ [ "2014", "1" ] ] }, "page" : "281", "title" : "BESST--efficient scaffolding of large fragmented assemblies.", "type" : "article-journal", "volume" : "15" }, "uris" : [ "http://www.mendeley.com/documents/?uuid=c89ef069-5a69-4938-9f2c-93c1c1a68de1" ] } ], "mendeley" : { "formattedCitation" : "[6]", "plainTextFormattedCitation" : "[6]", "previouslyFormattedCitation" : "[5]" }, "properties" : { "noteIndex" : 0 }, "schema" : "https://github.com/citation-style-language/schema/raw/master/csl-citation.json" }</w:instrText>
      </w:r>
      <w:r w:rsidR="00934CEA" w:rsidRPr="007A748E">
        <w:rPr>
          <w:sz w:val="24"/>
          <w:szCs w:val="24"/>
        </w:rPr>
        <w:fldChar w:fldCharType="separate"/>
      </w:r>
      <w:r w:rsidR="008A79E1" w:rsidRPr="007A748E">
        <w:rPr>
          <w:noProof/>
          <w:sz w:val="24"/>
          <w:szCs w:val="24"/>
        </w:rPr>
        <w:t>[6]</w:t>
      </w:r>
      <w:r w:rsidR="00934CEA" w:rsidRPr="007A748E">
        <w:rPr>
          <w:sz w:val="24"/>
          <w:szCs w:val="24"/>
        </w:rPr>
        <w:fldChar w:fldCharType="end"/>
      </w:r>
      <w:r w:rsidR="00A7130B" w:rsidRPr="007A748E">
        <w:rPr>
          <w:sz w:val="24"/>
          <w:szCs w:val="24"/>
        </w:rPr>
        <w:t xml:space="preserve">. </w:t>
      </w:r>
      <w:r w:rsidR="00750085" w:rsidRPr="007A748E">
        <w:rPr>
          <w:sz w:val="24"/>
          <w:szCs w:val="24"/>
        </w:rPr>
        <w:t>The cork oak genome draft assembly contained 50,595 scaffolds, with a minimum size of 1 kb. The total genome length contained in the draft assembly was 655.5 Mb, and the percentage of Ns was 5.6%. The assembly N50 was 87,392 bp, while the longest scaffold contained 665,812 bp.</w:t>
      </w:r>
    </w:p>
    <w:p w14:paraId="31CE3F3C" w14:textId="77777777" w:rsidR="009F2E5A" w:rsidRPr="007A748E" w:rsidRDefault="009F2E5A" w:rsidP="007A748E">
      <w:pPr>
        <w:spacing w:line="480" w:lineRule="auto"/>
        <w:jc w:val="both"/>
        <w:rPr>
          <w:sz w:val="24"/>
          <w:szCs w:val="24"/>
        </w:rPr>
      </w:pPr>
    </w:p>
    <w:p w14:paraId="505C9C11" w14:textId="77777777" w:rsidR="00C82A3B" w:rsidRPr="007A748E" w:rsidRDefault="00BA73C4" w:rsidP="007A748E">
      <w:pPr>
        <w:spacing w:line="480" w:lineRule="auto"/>
        <w:jc w:val="both"/>
        <w:rPr>
          <w:b/>
          <w:sz w:val="24"/>
          <w:szCs w:val="24"/>
        </w:rPr>
      </w:pPr>
      <w:r w:rsidRPr="007A748E">
        <w:rPr>
          <w:b/>
          <w:sz w:val="24"/>
          <w:szCs w:val="24"/>
        </w:rPr>
        <w:t>Assembly validation and annotation</w:t>
      </w:r>
    </w:p>
    <w:p w14:paraId="0BDC05A8" w14:textId="77777777" w:rsidR="008571DD" w:rsidRDefault="00750085" w:rsidP="007A748E">
      <w:pPr>
        <w:spacing w:line="480" w:lineRule="auto"/>
        <w:jc w:val="both"/>
        <w:rPr>
          <w:sz w:val="24"/>
          <w:szCs w:val="24"/>
        </w:rPr>
      </w:pPr>
      <w:r w:rsidRPr="007A748E">
        <w:rPr>
          <w:sz w:val="24"/>
          <w:szCs w:val="24"/>
        </w:rPr>
        <w:t>T</w:t>
      </w:r>
      <w:r w:rsidR="00BA73C4" w:rsidRPr="007A748E">
        <w:rPr>
          <w:sz w:val="24"/>
          <w:szCs w:val="24"/>
        </w:rPr>
        <w:t xml:space="preserve">he 50,592 scaffolds </w:t>
      </w:r>
      <w:r w:rsidRPr="007A748E">
        <w:rPr>
          <w:sz w:val="24"/>
          <w:szCs w:val="24"/>
        </w:rPr>
        <w:t>were used in a</w:t>
      </w:r>
      <w:r w:rsidR="00BA73C4" w:rsidRPr="007A748E">
        <w:rPr>
          <w:sz w:val="24"/>
          <w:szCs w:val="24"/>
        </w:rPr>
        <w:t xml:space="preserve"> CEGMA </w:t>
      </w:r>
      <w:r w:rsidRPr="007A748E">
        <w:rPr>
          <w:sz w:val="24"/>
          <w:szCs w:val="24"/>
        </w:rPr>
        <w:t>analysis, which</w:t>
      </w:r>
      <w:r w:rsidR="00BA73C4" w:rsidRPr="007A748E">
        <w:rPr>
          <w:sz w:val="24"/>
          <w:szCs w:val="24"/>
        </w:rPr>
        <w:t xml:space="preserve"> showed </w:t>
      </w:r>
      <w:r w:rsidR="00E37505" w:rsidRPr="007A748E">
        <w:rPr>
          <w:sz w:val="24"/>
          <w:szCs w:val="24"/>
        </w:rPr>
        <w:t>that the majority of core genes were already present in the draft</w:t>
      </w:r>
      <w:r w:rsidR="00A25CEE" w:rsidRPr="007A748E">
        <w:rPr>
          <w:sz w:val="24"/>
          <w:szCs w:val="24"/>
        </w:rPr>
        <w:t xml:space="preserve"> (81.</w:t>
      </w:r>
      <w:r w:rsidRPr="007A748E">
        <w:rPr>
          <w:sz w:val="24"/>
          <w:szCs w:val="24"/>
        </w:rPr>
        <w:t>9</w:t>
      </w:r>
      <w:r w:rsidR="00A25CEE" w:rsidRPr="007A748E">
        <w:rPr>
          <w:sz w:val="24"/>
          <w:szCs w:val="24"/>
        </w:rPr>
        <w:t>% in full length and 96.</w:t>
      </w:r>
      <w:r w:rsidRPr="007A748E">
        <w:rPr>
          <w:sz w:val="24"/>
          <w:szCs w:val="24"/>
        </w:rPr>
        <w:t>4</w:t>
      </w:r>
      <w:r w:rsidR="00A25CEE" w:rsidRPr="007A748E">
        <w:rPr>
          <w:sz w:val="24"/>
          <w:szCs w:val="24"/>
        </w:rPr>
        <w:t>% partially represented)</w:t>
      </w:r>
      <w:r w:rsidR="00E37505" w:rsidRPr="007A748E">
        <w:rPr>
          <w:sz w:val="24"/>
          <w:szCs w:val="24"/>
        </w:rPr>
        <w:t xml:space="preserve">. </w:t>
      </w:r>
      <w:r w:rsidR="00A25CEE" w:rsidRPr="007A748E">
        <w:rPr>
          <w:sz w:val="24"/>
          <w:szCs w:val="24"/>
        </w:rPr>
        <w:t xml:space="preserve">Augustus was used for gene prediction using </w:t>
      </w:r>
      <w:r w:rsidR="00A25CEE" w:rsidRPr="007A748E">
        <w:rPr>
          <w:i/>
          <w:sz w:val="24"/>
          <w:szCs w:val="24"/>
        </w:rPr>
        <w:t xml:space="preserve">Arabidopsis thaliana </w:t>
      </w:r>
      <w:r w:rsidR="00A25CEE" w:rsidRPr="007A748E">
        <w:rPr>
          <w:sz w:val="24"/>
          <w:szCs w:val="24"/>
        </w:rPr>
        <w:t xml:space="preserve">as the training model. </w:t>
      </w:r>
      <w:r w:rsidRPr="007A748E">
        <w:rPr>
          <w:sz w:val="24"/>
          <w:szCs w:val="24"/>
        </w:rPr>
        <w:t xml:space="preserve">A total of </w:t>
      </w:r>
      <w:r w:rsidR="00A25CEE" w:rsidRPr="007A748E">
        <w:rPr>
          <w:sz w:val="24"/>
          <w:szCs w:val="24"/>
        </w:rPr>
        <w:t>109,847 genes were detected</w:t>
      </w:r>
      <w:r w:rsidRPr="007A748E">
        <w:rPr>
          <w:sz w:val="24"/>
          <w:szCs w:val="24"/>
        </w:rPr>
        <w:t>,</w:t>
      </w:r>
      <w:r w:rsidR="00A25CEE" w:rsidRPr="007A748E">
        <w:rPr>
          <w:sz w:val="24"/>
          <w:szCs w:val="24"/>
        </w:rPr>
        <w:t xml:space="preserve"> </w:t>
      </w:r>
      <w:r w:rsidRPr="007A748E">
        <w:rPr>
          <w:sz w:val="24"/>
          <w:szCs w:val="24"/>
        </w:rPr>
        <w:t>of</w:t>
      </w:r>
      <w:r w:rsidR="00A25CEE" w:rsidRPr="007A748E">
        <w:rPr>
          <w:sz w:val="24"/>
          <w:szCs w:val="24"/>
        </w:rPr>
        <w:t xml:space="preserve"> which 90,978 (82.8%) represent</w:t>
      </w:r>
      <w:r w:rsidRPr="007A748E">
        <w:rPr>
          <w:sz w:val="24"/>
          <w:szCs w:val="24"/>
        </w:rPr>
        <w:t>ed</w:t>
      </w:r>
      <w:r w:rsidR="00A25CEE" w:rsidRPr="007A748E">
        <w:rPr>
          <w:sz w:val="24"/>
          <w:szCs w:val="24"/>
        </w:rPr>
        <w:t xml:space="preserve"> full length features (with a start and stop codon) and 18,869 (17.2%) were partial. Ra</w:t>
      </w:r>
      <w:r w:rsidR="005E2264" w:rsidRPr="007A748E">
        <w:rPr>
          <w:sz w:val="24"/>
          <w:szCs w:val="24"/>
        </w:rPr>
        <w:t xml:space="preserve">psearch2 </w:t>
      </w:r>
      <w:r w:rsidR="00A25CEE" w:rsidRPr="007A748E">
        <w:rPr>
          <w:sz w:val="24"/>
          <w:szCs w:val="24"/>
        </w:rPr>
        <w:t xml:space="preserve">annotations against </w:t>
      </w:r>
      <w:r w:rsidR="007A748E">
        <w:rPr>
          <w:sz w:val="24"/>
          <w:szCs w:val="24"/>
        </w:rPr>
        <w:t xml:space="preserve">NCBI-nr and NCBI plants and an </w:t>
      </w:r>
      <w:proofErr w:type="spellStart"/>
      <w:r w:rsidR="007A748E">
        <w:rPr>
          <w:sz w:val="24"/>
          <w:szCs w:val="24"/>
        </w:rPr>
        <w:t>I</w:t>
      </w:r>
      <w:r w:rsidR="00A25CEE" w:rsidRPr="007A748E">
        <w:rPr>
          <w:sz w:val="24"/>
          <w:szCs w:val="24"/>
        </w:rPr>
        <w:t>nterproscan</w:t>
      </w:r>
      <w:proofErr w:type="spellEnd"/>
      <w:r w:rsidR="00A25CEE" w:rsidRPr="007A748E">
        <w:rPr>
          <w:sz w:val="24"/>
          <w:szCs w:val="24"/>
        </w:rPr>
        <w:t xml:space="preserve"> run </w:t>
      </w:r>
      <w:r w:rsidR="008571DD" w:rsidRPr="007A748E">
        <w:rPr>
          <w:sz w:val="24"/>
          <w:szCs w:val="24"/>
        </w:rPr>
        <w:t>displayed 73,630 (67.0%),</w:t>
      </w:r>
      <w:r w:rsidR="005E2264" w:rsidRPr="007A748E">
        <w:rPr>
          <w:sz w:val="24"/>
          <w:szCs w:val="24"/>
        </w:rPr>
        <w:t xml:space="preserve"> </w:t>
      </w:r>
      <w:r w:rsidR="008571DD" w:rsidRPr="007A748E">
        <w:rPr>
          <w:sz w:val="24"/>
          <w:szCs w:val="24"/>
        </w:rPr>
        <w:t>70,792 (64.</w:t>
      </w:r>
      <w:r w:rsidRPr="007A748E">
        <w:rPr>
          <w:sz w:val="24"/>
          <w:szCs w:val="24"/>
        </w:rPr>
        <w:t>5%) and 71,913 (65.</w:t>
      </w:r>
      <w:r w:rsidR="008571DD" w:rsidRPr="007A748E">
        <w:rPr>
          <w:sz w:val="24"/>
          <w:szCs w:val="24"/>
        </w:rPr>
        <w:t xml:space="preserve">5%) genes with </w:t>
      </w:r>
      <w:r w:rsidR="005E2264" w:rsidRPr="007A748E">
        <w:rPr>
          <w:sz w:val="24"/>
          <w:szCs w:val="24"/>
        </w:rPr>
        <w:t>a match</w:t>
      </w:r>
      <w:r w:rsidR="00326E51" w:rsidRPr="007A748E">
        <w:rPr>
          <w:sz w:val="24"/>
          <w:szCs w:val="24"/>
        </w:rPr>
        <w:t>, respectively</w:t>
      </w:r>
      <w:r w:rsidRPr="007A748E">
        <w:rPr>
          <w:sz w:val="24"/>
          <w:szCs w:val="24"/>
        </w:rPr>
        <w:t>.</w:t>
      </w:r>
    </w:p>
    <w:p w14:paraId="12D1AA78" w14:textId="77777777" w:rsidR="007A748E" w:rsidRDefault="007A748E" w:rsidP="007A748E">
      <w:pPr>
        <w:spacing w:line="480" w:lineRule="auto"/>
        <w:jc w:val="both"/>
        <w:rPr>
          <w:b/>
          <w:sz w:val="24"/>
          <w:szCs w:val="24"/>
        </w:rPr>
      </w:pPr>
    </w:p>
    <w:p w14:paraId="1085660F" w14:textId="77777777" w:rsidR="007A748E" w:rsidRDefault="007A748E" w:rsidP="007A748E">
      <w:pPr>
        <w:spacing w:line="480" w:lineRule="auto"/>
        <w:jc w:val="both"/>
        <w:rPr>
          <w:b/>
          <w:sz w:val="24"/>
          <w:szCs w:val="24"/>
        </w:rPr>
      </w:pPr>
    </w:p>
    <w:p w14:paraId="68A90438" w14:textId="77777777" w:rsidR="007A748E" w:rsidRDefault="007A748E" w:rsidP="007A748E">
      <w:pPr>
        <w:spacing w:line="480" w:lineRule="auto"/>
        <w:jc w:val="both"/>
        <w:rPr>
          <w:b/>
          <w:sz w:val="24"/>
          <w:szCs w:val="24"/>
        </w:rPr>
      </w:pPr>
    </w:p>
    <w:p w14:paraId="3713D014" w14:textId="77777777" w:rsidR="007A748E" w:rsidRDefault="007A748E" w:rsidP="007A748E">
      <w:pPr>
        <w:spacing w:line="480" w:lineRule="auto"/>
        <w:jc w:val="both"/>
        <w:rPr>
          <w:b/>
          <w:sz w:val="24"/>
          <w:szCs w:val="24"/>
        </w:rPr>
      </w:pPr>
    </w:p>
    <w:p w14:paraId="0E227326" w14:textId="77777777" w:rsidR="007A748E" w:rsidRDefault="007A748E" w:rsidP="007A748E">
      <w:pPr>
        <w:spacing w:line="360" w:lineRule="auto"/>
        <w:jc w:val="both"/>
        <w:rPr>
          <w:b/>
          <w:sz w:val="24"/>
          <w:szCs w:val="24"/>
        </w:rPr>
      </w:pPr>
    </w:p>
    <w:p w14:paraId="5AA83126" w14:textId="40447BB9" w:rsidR="007A748E" w:rsidRPr="007A748E" w:rsidRDefault="007A748E" w:rsidP="007A748E">
      <w:pPr>
        <w:spacing w:line="360" w:lineRule="auto"/>
        <w:jc w:val="both"/>
        <w:rPr>
          <w:sz w:val="24"/>
          <w:szCs w:val="24"/>
        </w:rPr>
      </w:pPr>
      <w:r w:rsidRPr="007A748E">
        <w:rPr>
          <w:b/>
          <w:sz w:val="24"/>
          <w:szCs w:val="24"/>
        </w:rPr>
        <w:lastRenderedPageBreak/>
        <w:t xml:space="preserve">Table </w:t>
      </w:r>
      <w:r>
        <w:rPr>
          <w:b/>
          <w:sz w:val="24"/>
          <w:szCs w:val="24"/>
        </w:rPr>
        <w:t>S</w:t>
      </w:r>
      <w:r w:rsidR="00E6393C">
        <w:rPr>
          <w:b/>
          <w:sz w:val="24"/>
          <w:szCs w:val="24"/>
        </w:rPr>
        <w:t>3</w:t>
      </w:r>
    </w:p>
    <w:tbl>
      <w:tblPr>
        <w:tblW w:w="5000" w:type="pct"/>
        <w:tblLook w:val="04A0" w:firstRow="1" w:lastRow="0" w:firstColumn="1" w:lastColumn="0" w:noHBand="0" w:noVBand="1"/>
      </w:tblPr>
      <w:tblGrid>
        <w:gridCol w:w="2022"/>
        <w:gridCol w:w="2744"/>
        <w:gridCol w:w="1783"/>
        <w:gridCol w:w="2092"/>
        <w:gridCol w:w="935"/>
      </w:tblGrid>
      <w:tr w:rsidR="007A748E" w:rsidRPr="007A748E" w14:paraId="6B1F2392" w14:textId="77777777" w:rsidTr="00AD751D">
        <w:trPr>
          <w:trHeight w:val="915"/>
        </w:trPr>
        <w:tc>
          <w:tcPr>
            <w:tcW w:w="1057" w:type="pct"/>
            <w:tcBorders>
              <w:top w:val="single" w:sz="8" w:space="0" w:color="auto"/>
              <w:left w:val="nil"/>
              <w:bottom w:val="single" w:sz="8" w:space="0" w:color="auto"/>
              <w:right w:val="nil"/>
            </w:tcBorders>
            <w:shd w:val="clear" w:color="auto" w:fill="auto"/>
            <w:vAlign w:val="center"/>
            <w:hideMark/>
          </w:tcPr>
          <w:p w14:paraId="01726F6D" w14:textId="77777777" w:rsidR="007A748E" w:rsidRPr="007A748E" w:rsidRDefault="007A748E" w:rsidP="007A748E">
            <w:pPr>
              <w:spacing w:after="0" w:line="360" w:lineRule="auto"/>
              <w:jc w:val="center"/>
              <w:rPr>
                <w:rFonts w:ascii="Calibri" w:eastAsia="Times New Roman" w:hAnsi="Calibri" w:cs="Calibri"/>
                <w:b/>
                <w:bCs/>
                <w:color w:val="000000"/>
                <w:sz w:val="24"/>
                <w:szCs w:val="24"/>
              </w:rPr>
            </w:pPr>
            <w:r w:rsidRPr="007A748E">
              <w:rPr>
                <w:rFonts w:ascii="Calibri" w:eastAsia="Times New Roman" w:hAnsi="Calibri" w:cs="Calibri"/>
                <w:b/>
                <w:bCs/>
                <w:color w:val="000000"/>
                <w:sz w:val="24"/>
                <w:szCs w:val="24"/>
              </w:rPr>
              <w:t>Sample Name</w:t>
            </w:r>
          </w:p>
        </w:tc>
        <w:tc>
          <w:tcPr>
            <w:tcW w:w="1434" w:type="pct"/>
            <w:tcBorders>
              <w:top w:val="single" w:sz="8" w:space="0" w:color="auto"/>
              <w:left w:val="nil"/>
              <w:bottom w:val="single" w:sz="8" w:space="0" w:color="auto"/>
              <w:right w:val="nil"/>
            </w:tcBorders>
            <w:shd w:val="clear" w:color="auto" w:fill="auto"/>
            <w:vAlign w:val="center"/>
            <w:hideMark/>
          </w:tcPr>
          <w:p w14:paraId="1E295C4D" w14:textId="77777777" w:rsidR="007A748E" w:rsidRPr="007A748E" w:rsidRDefault="007A748E" w:rsidP="007A748E">
            <w:pPr>
              <w:spacing w:after="0" w:line="360" w:lineRule="auto"/>
              <w:jc w:val="center"/>
              <w:rPr>
                <w:rFonts w:ascii="Calibri" w:eastAsia="Times New Roman" w:hAnsi="Calibri" w:cs="Calibri"/>
                <w:b/>
                <w:bCs/>
                <w:color w:val="000000"/>
                <w:sz w:val="24"/>
                <w:szCs w:val="24"/>
              </w:rPr>
            </w:pPr>
            <w:r w:rsidRPr="007A748E">
              <w:rPr>
                <w:rFonts w:ascii="Calibri" w:eastAsia="Times New Roman" w:hAnsi="Calibri" w:cs="Calibri"/>
                <w:b/>
                <w:bCs/>
                <w:color w:val="000000"/>
                <w:sz w:val="24"/>
                <w:szCs w:val="24"/>
              </w:rPr>
              <w:t>Number of raw reads</w:t>
            </w:r>
          </w:p>
        </w:tc>
        <w:tc>
          <w:tcPr>
            <w:tcW w:w="932" w:type="pct"/>
            <w:tcBorders>
              <w:top w:val="single" w:sz="8" w:space="0" w:color="auto"/>
              <w:left w:val="nil"/>
              <w:bottom w:val="single" w:sz="8" w:space="0" w:color="auto"/>
              <w:right w:val="nil"/>
            </w:tcBorders>
            <w:shd w:val="clear" w:color="auto" w:fill="auto"/>
            <w:vAlign w:val="center"/>
            <w:hideMark/>
          </w:tcPr>
          <w:p w14:paraId="33C6B630" w14:textId="77777777" w:rsidR="007A748E" w:rsidRPr="007A748E" w:rsidRDefault="007A748E" w:rsidP="007A748E">
            <w:pPr>
              <w:spacing w:after="0" w:line="360" w:lineRule="auto"/>
              <w:jc w:val="center"/>
              <w:rPr>
                <w:rFonts w:ascii="Calibri" w:eastAsia="Times New Roman" w:hAnsi="Calibri" w:cs="Calibri"/>
                <w:b/>
                <w:bCs/>
                <w:color w:val="000000"/>
                <w:sz w:val="24"/>
                <w:szCs w:val="24"/>
              </w:rPr>
            </w:pPr>
            <w:r w:rsidRPr="007A748E">
              <w:rPr>
                <w:rFonts w:ascii="Calibri" w:eastAsia="Times New Roman" w:hAnsi="Calibri" w:cs="Calibri"/>
                <w:b/>
                <w:bCs/>
                <w:color w:val="000000"/>
                <w:sz w:val="24"/>
                <w:szCs w:val="24"/>
              </w:rPr>
              <w:t>Insert size (bp)</w:t>
            </w:r>
          </w:p>
        </w:tc>
        <w:tc>
          <w:tcPr>
            <w:tcW w:w="1093" w:type="pct"/>
            <w:tcBorders>
              <w:top w:val="single" w:sz="8" w:space="0" w:color="auto"/>
              <w:left w:val="nil"/>
              <w:bottom w:val="single" w:sz="8" w:space="0" w:color="auto"/>
              <w:right w:val="nil"/>
            </w:tcBorders>
            <w:shd w:val="clear" w:color="auto" w:fill="auto"/>
            <w:vAlign w:val="center"/>
            <w:hideMark/>
          </w:tcPr>
          <w:p w14:paraId="694827F7" w14:textId="77777777" w:rsidR="007A748E" w:rsidRPr="007A748E" w:rsidRDefault="007A748E" w:rsidP="007A748E">
            <w:pPr>
              <w:spacing w:after="0" w:line="360" w:lineRule="auto"/>
              <w:jc w:val="center"/>
              <w:rPr>
                <w:rFonts w:ascii="Calibri" w:eastAsia="Times New Roman" w:hAnsi="Calibri" w:cs="Calibri"/>
                <w:b/>
                <w:bCs/>
                <w:color w:val="000000"/>
                <w:sz w:val="24"/>
                <w:szCs w:val="24"/>
              </w:rPr>
            </w:pPr>
            <w:r w:rsidRPr="007A748E">
              <w:rPr>
                <w:rFonts w:ascii="Calibri" w:eastAsia="Times New Roman" w:hAnsi="Calibri" w:cs="Calibri"/>
                <w:b/>
                <w:bCs/>
                <w:color w:val="000000"/>
                <w:sz w:val="24"/>
                <w:szCs w:val="24"/>
              </w:rPr>
              <w:t>Cleaned reads</w:t>
            </w:r>
          </w:p>
        </w:tc>
        <w:tc>
          <w:tcPr>
            <w:tcW w:w="484" w:type="pct"/>
            <w:tcBorders>
              <w:top w:val="single" w:sz="8" w:space="0" w:color="auto"/>
              <w:left w:val="nil"/>
              <w:bottom w:val="single" w:sz="8" w:space="0" w:color="auto"/>
              <w:right w:val="nil"/>
            </w:tcBorders>
            <w:shd w:val="clear" w:color="auto" w:fill="auto"/>
            <w:vAlign w:val="center"/>
            <w:hideMark/>
          </w:tcPr>
          <w:p w14:paraId="10320CBB" w14:textId="77777777" w:rsidR="007A748E" w:rsidRPr="007A748E" w:rsidRDefault="007A748E" w:rsidP="007A748E">
            <w:pPr>
              <w:spacing w:after="0" w:line="360" w:lineRule="auto"/>
              <w:jc w:val="center"/>
              <w:rPr>
                <w:rFonts w:ascii="Calibri" w:eastAsia="Times New Roman" w:hAnsi="Calibri" w:cs="Calibri"/>
                <w:b/>
                <w:bCs/>
                <w:color w:val="000000"/>
                <w:sz w:val="24"/>
                <w:szCs w:val="24"/>
              </w:rPr>
            </w:pPr>
            <w:r w:rsidRPr="007A748E">
              <w:rPr>
                <w:rFonts w:ascii="Calibri" w:eastAsia="Times New Roman" w:hAnsi="Calibri" w:cs="Calibri"/>
                <w:b/>
                <w:bCs/>
                <w:color w:val="000000"/>
                <w:sz w:val="24"/>
                <w:szCs w:val="24"/>
              </w:rPr>
              <w:t>% Kept</w:t>
            </w:r>
          </w:p>
        </w:tc>
      </w:tr>
      <w:tr w:rsidR="007A748E" w:rsidRPr="007A748E" w14:paraId="13C12410" w14:textId="77777777" w:rsidTr="00AD751D">
        <w:trPr>
          <w:trHeight w:val="300"/>
        </w:trPr>
        <w:tc>
          <w:tcPr>
            <w:tcW w:w="1057" w:type="pct"/>
            <w:tcBorders>
              <w:top w:val="nil"/>
              <w:left w:val="nil"/>
              <w:bottom w:val="nil"/>
              <w:right w:val="nil"/>
            </w:tcBorders>
            <w:shd w:val="clear" w:color="auto" w:fill="auto"/>
            <w:vAlign w:val="center"/>
            <w:hideMark/>
          </w:tcPr>
          <w:p w14:paraId="24A47660"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WHABPI001738-44</w:t>
            </w:r>
          </w:p>
        </w:tc>
        <w:tc>
          <w:tcPr>
            <w:tcW w:w="1434" w:type="pct"/>
            <w:tcBorders>
              <w:top w:val="nil"/>
              <w:left w:val="nil"/>
              <w:bottom w:val="nil"/>
              <w:right w:val="nil"/>
            </w:tcBorders>
            <w:shd w:val="clear" w:color="auto" w:fill="auto"/>
            <w:vAlign w:val="center"/>
            <w:hideMark/>
          </w:tcPr>
          <w:p w14:paraId="545E0EB9"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352,588,096</w:t>
            </w:r>
          </w:p>
        </w:tc>
        <w:tc>
          <w:tcPr>
            <w:tcW w:w="932" w:type="pct"/>
            <w:tcBorders>
              <w:top w:val="nil"/>
              <w:left w:val="nil"/>
              <w:bottom w:val="nil"/>
              <w:right w:val="nil"/>
            </w:tcBorders>
            <w:shd w:val="clear" w:color="auto" w:fill="auto"/>
            <w:vAlign w:val="center"/>
            <w:hideMark/>
          </w:tcPr>
          <w:p w14:paraId="3767C4D8"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170</w:t>
            </w:r>
          </w:p>
        </w:tc>
        <w:tc>
          <w:tcPr>
            <w:tcW w:w="1093" w:type="pct"/>
            <w:tcBorders>
              <w:top w:val="nil"/>
              <w:left w:val="nil"/>
              <w:bottom w:val="nil"/>
              <w:right w:val="nil"/>
            </w:tcBorders>
            <w:shd w:val="clear" w:color="auto" w:fill="auto"/>
            <w:vAlign w:val="center"/>
            <w:hideMark/>
          </w:tcPr>
          <w:p w14:paraId="22F7730E"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315,869,872</w:t>
            </w:r>
          </w:p>
        </w:tc>
        <w:tc>
          <w:tcPr>
            <w:tcW w:w="484" w:type="pct"/>
            <w:tcBorders>
              <w:top w:val="nil"/>
              <w:left w:val="nil"/>
              <w:bottom w:val="nil"/>
              <w:right w:val="nil"/>
            </w:tcBorders>
            <w:shd w:val="clear" w:color="auto" w:fill="auto"/>
            <w:vAlign w:val="center"/>
            <w:hideMark/>
          </w:tcPr>
          <w:p w14:paraId="0A0598BC"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89.59%</w:t>
            </w:r>
          </w:p>
        </w:tc>
      </w:tr>
      <w:tr w:rsidR="007A748E" w:rsidRPr="007A748E" w14:paraId="7B74A41D" w14:textId="77777777" w:rsidTr="00AD751D">
        <w:trPr>
          <w:trHeight w:val="300"/>
        </w:trPr>
        <w:tc>
          <w:tcPr>
            <w:tcW w:w="1057" w:type="pct"/>
            <w:tcBorders>
              <w:top w:val="nil"/>
              <w:left w:val="nil"/>
              <w:bottom w:val="nil"/>
              <w:right w:val="nil"/>
            </w:tcBorders>
            <w:shd w:val="clear" w:color="auto" w:fill="auto"/>
            <w:vAlign w:val="center"/>
            <w:hideMark/>
          </w:tcPr>
          <w:p w14:paraId="73914364"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HL8.2</w:t>
            </w:r>
          </w:p>
        </w:tc>
        <w:tc>
          <w:tcPr>
            <w:tcW w:w="1434" w:type="pct"/>
            <w:tcBorders>
              <w:top w:val="nil"/>
              <w:left w:val="nil"/>
              <w:bottom w:val="nil"/>
              <w:right w:val="nil"/>
            </w:tcBorders>
            <w:shd w:val="clear" w:color="auto" w:fill="auto"/>
            <w:vAlign w:val="center"/>
            <w:hideMark/>
          </w:tcPr>
          <w:p w14:paraId="26D33B68"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321,172,452</w:t>
            </w:r>
          </w:p>
        </w:tc>
        <w:tc>
          <w:tcPr>
            <w:tcW w:w="932" w:type="pct"/>
            <w:tcBorders>
              <w:top w:val="nil"/>
              <w:left w:val="nil"/>
              <w:bottom w:val="nil"/>
              <w:right w:val="nil"/>
            </w:tcBorders>
            <w:shd w:val="clear" w:color="auto" w:fill="auto"/>
            <w:vAlign w:val="center"/>
            <w:hideMark/>
          </w:tcPr>
          <w:p w14:paraId="109AC3CD"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170</w:t>
            </w:r>
          </w:p>
        </w:tc>
        <w:tc>
          <w:tcPr>
            <w:tcW w:w="1093" w:type="pct"/>
            <w:tcBorders>
              <w:top w:val="nil"/>
              <w:left w:val="nil"/>
              <w:bottom w:val="nil"/>
              <w:right w:val="nil"/>
            </w:tcBorders>
            <w:shd w:val="clear" w:color="auto" w:fill="auto"/>
            <w:vAlign w:val="center"/>
            <w:hideMark/>
          </w:tcPr>
          <w:p w14:paraId="1C5639BC"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290,834,920</w:t>
            </w:r>
          </w:p>
        </w:tc>
        <w:tc>
          <w:tcPr>
            <w:tcW w:w="484" w:type="pct"/>
            <w:tcBorders>
              <w:top w:val="nil"/>
              <w:left w:val="nil"/>
              <w:bottom w:val="nil"/>
              <w:right w:val="nil"/>
            </w:tcBorders>
            <w:shd w:val="clear" w:color="auto" w:fill="auto"/>
            <w:vAlign w:val="center"/>
            <w:hideMark/>
          </w:tcPr>
          <w:p w14:paraId="32F1A5DB"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90.55%</w:t>
            </w:r>
          </w:p>
        </w:tc>
      </w:tr>
      <w:tr w:rsidR="007A748E" w:rsidRPr="007A748E" w14:paraId="0E41557D" w14:textId="77777777" w:rsidTr="00AD751D">
        <w:trPr>
          <w:trHeight w:val="300"/>
        </w:trPr>
        <w:tc>
          <w:tcPr>
            <w:tcW w:w="1057" w:type="pct"/>
            <w:tcBorders>
              <w:top w:val="nil"/>
              <w:left w:val="nil"/>
              <w:bottom w:val="nil"/>
              <w:right w:val="nil"/>
            </w:tcBorders>
            <w:shd w:val="clear" w:color="auto" w:fill="auto"/>
            <w:vAlign w:val="center"/>
            <w:hideMark/>
          </w:tcPr>
          <w:p w14:paraId="44C8D968"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HL8.4</w:t>
            </w:r>
          </w:p>
        </w:tc>
        <w:tc>
          <w:tcPr>
            <w:tcW w:w="1434" w:type="pct"/>
            <w:tcBorders>
              <w:top w:val="nil"/>
              <w:left w:val="nil"/>
              <w:bottom w:val="nil"/>
              <w:right w:val="nil"/>
            </w:tcBorders>
            <w:shd w:val="clear" w:color="auto" w:fill="auto"/>
            <w:vAlign w:val="center"/>
            <w:hideMark/>
          </w:tcPr>
          <w:p w14:paraId="684941C5"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309,545,950</w:t>
            </w:r>
          </w:p>
        </w:tc>
        <w:tc>
          <w:tcPr>
            <w:tcW w:w="932" w:type="pct"/>
            <w:tcBorders>
              <w:top w:val="nil"/>
              <w:left w:val="nil"/>
              <w:bottom w:val="nil"/>
              <w:right w:val="nil"/>
            </w:tcBorders>
            <w:shd w:val="clear" w:color="auto" w:fill="auto"/>
            <w:vAlign w:val="center"/>
            <w:hideMark/>
          </w:tcPr>
          <w:p w14:paraId="5D6D1E59"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170</w:t>
            </w:r>
          </w:p>
        </w:tc>
        <w:tc>
          <w:tcPr>
            <w:tcW w:w="1093" w:type="pct"/>
            <w:tcBorders>
              <w:top w:val="nil"/>
              <w:left w:val="nil"/>
              <w:bottom w:val="nil"/>
              <w:right w:val="nil"/>
            </w:tcBorders>
            <w:shd w:val="clear" w:color="auto" w:fill="auto"/>
            <w:vAlign w:val="center"/>
            <w:hideMark/>
          </w:tcPr>
          <w:p w14:paraId="3E3218DE"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280,005,244</w:t>
            </w:r>
          </w:p>
        </w:tc>
        <w:tc>
          <w:tcPr>
            <w:tcW w:w="484" w:type="pct"/>
            <w:tcBorders>
              <w:top w:val="nil"/>
              <w:left w:val="nil"/>
              <w:bottom w:val="nil"/>
              <w:right w:val="nil"/>
            </w:tcBorders>
            <w:shd w:val="clear" w:color="auto" w:fill="auto"/>
            <w:vAlign w:val="center"/>
            <w:hideMark/>
          </w:tcPr>
          <w:p w14:paraId="22F0E30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90.46%</w:t>
            </w:r>
          </w:p>
        </w:tc>
      </w:tr>
      <w:tr w:rsidR="007A748E" w:rsidRPr="007A748E" w14:paraId="362EE0EA" w14:textId="77777777" w:rsidTr="00AD751D">
        <w:trPr>
          <w:trHeight w:val="300"/>
        </w:trPr>
        <w:tc>
          <w:tcPr>
            <w:tcW w:w="1057" w:type="pct"/>
            <w:tcBorders>
              <w:top w:val="nil"/>
              <w:left w:val="nil"/>
              <w:bottom w:val="nil"/>
              <w:right w:val="nil"/>
            </w:tcBorders>
            <w:shd w:val="clear" w:color="auto" w:fill="auto"/>
            <w:vAlign w:val="center"/>
            <w:hideMark/>
          </w:tcPr>
          <w:p w14:paraId="7B7951C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WHAIPI001737-45</w:t>
            </w:r>
          </w:p>
        </w:tc>
        <w:tc>
          <w:tcPr>
            <w:tcW w:w="1434" w:type="pct"/>
            <w:tcBorders>
              <w:top w:val="nil"/>
              <w:left w:val="nil"/>
              <w:bottom w:val="nil"/>
              <w:right w:val="nil"/>
            </w:tcBorders>
            <w:shd w:val="clear" w:color="auto" w:fill="auto"/>
            <w:vAlign w:val="center"/>
            <w:hideMark/>
          </w:tcPr>
          <w:p w14:paraId="784265E7"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212,784,794</w:t>
            </w:r>
          </w:p>
        </w:tc>
        <w:tc>
          <w:tcPr>
            <w:tcW w:w="932" w:type="pct"/>
            <w:tcBorders>
              <w:top w:val="nil"/>
              <w:left w:val="nil"/>
              <w:bottom w:val="nil"/>
              <w:right w:val="nil"/>
            </w:tcBorders>
            <w:shd w:val="clear" w:color="auto" w:fill="auto"/>
            <w:vAlign w:val="center"/>
            <w:hideMark/>
          </w:tcPr>
          <w:p w14:paraId="264C3473"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500</w:t>
            </w:r>
          </w:p>
        </w:tc>
        <w:tc>
          <w:tcPr>
            <w:tcW w:w="1093" w:type="pct"/>
            <w:tcBorders>
              <w:top w:val="nil"/>
              <w:left w:val="nil"/>
              <w:bottom w:val="nil"/>
              <w:right w:val="nil"/>
            </w:tcBorders>
            <w:shd w:val="clear" w:color="auto" w:fill="auto"/>
            <w:vAlign w:val="center"/>
            <w:hideMark/>
          </w:tcPr>
          <w:p w14:paraId="5484D80C"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169,685,260</w:t>
            </w:r>
          </w:p>
        </w:tc>
        <w:tc>
          <w:tcPr>
            <w:tcW w:w="484" w:type="pct"/>
            <w:tcBorders>
              <w:top w:val="nil"/>
              <w:left w:val="nil"/>
              <w:bottom w:val="nil"/>
              <w:right w:val="nil"/>
            </w:tcBorders>
            <w:shd w:val="clear" w:color="auto" w:fill="auto"/>
            <w:vAlign w:val="center"/>
            <w:hideMark/>
          </w:tcPr>
          <w:p w14:paraId="07612E03"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79.75%</w:t>
            </w:r>
          </w:p>
        </w:tc>
      </w:tr>
      <w:tr w:rsidR="007A748E" w:rsidRPr="007A748E" w14:paraId="0FA4EB5E" w14:textId="77777777" w:rsidTr="00AD751D">
        <w:trPr>
          <w:trHeight w:val="300"/>
        </w:trPr>
        <w:tc>
          <w:tcPr>
            <w:tcW w:w="1057" w:type="pct"/>
            <w:tcBorders>
              <w:top w:val="nil"/>
              <w:left w:val="nil"/>
              <w:bottom w:val="nil"/>
              <w:right w:val="nil"/>
            </w:tcBorders>
            <w:shd w:val="clear" w:color="auto" w:fill="auto"/>
            <w:vAlign w:val="center"/>
            <w:hideMark/>
          </w:tcPr>
          <w:p w14:paraId="3F7730D9"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HL8.5</w:t>
            </w:r>
          </w:p>
        </w:tc>
        <w:tc>
          <w:tcPr>
            <w:tcW w:w="1434" w:type="pct"/>
            <w:tcBorders>
              <w:top w:val="nil"/>
              <w:left w:val="nil"/>
              <w:bottom w:val="nil"/>
              <w:right w:val="nil"/>
            </w:tcBorders>
            <w:shd w:val="clear" w:color="auto" w:fill="auto"/>
            <w:vAlign w:val="center"/>
            <w:hideMark/>
          </w:tcPr>
          <w:p w14:paraId="5A99C56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334,949,460</w:t>
            </w:r>
          </w:p>
        </w:tc>
        <w:tc>
          <w:tcPr>
            <w:tcW w:w="932" w:type="pct"/>
            <w:tcBorders>
              <w:top w:val="nil"/>
              <w:left w:val="nil"/>
              <w:bottom w:val="nil"/>
              <w:right w:val="nil"/>
            </w:tcBorders>
            <w:shd w:val="clear" w:color="auto" w:fill="auto"/>
            <w:vAlign w:val="center"/>
            <w:hideMark/>
          </w:tcPr>
          <w:p w14:paraId="5835FE3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500</w:t>
            </w:r>
          </w:p>
        </w:tc>
        <w:tc>
          <w:tcPr>
            <w:tcW w:w="1093" w:type="pct"/>
            <w:tcBorders>
              <w:top w:val="nil"/>
              <w:left w:val="nil"/>
              <w:bottom w:val="nil"/>
              <w:right w:val="nil"/>
            </w:tcBorders>
            <w:shd w:val="clear" w:color="auto" w:fill="auto"/>
            <w:vAlign w:val="center"/>
            <w:hideMark/>
          </w:tcPr>
          <w:p w14:paraId="2A65837B"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276,589,646</w:t>
            </w:r>
          </w:p>
        </w:tc>
        <w:tc>
          <w:tcPr>
            <w:tcW w:w="484" w:type="pct"/>
            <w:tcBorders>
              <w:top w:val="nil"/>
              <w:left w:val="nil"/>
              <w:bottom w:val="nil"/>
              <w:right w:val="nil"/>
            </w:tcBorders>
            <w:shd w:val="clear" w:color="auto" w:fill="auto"/>
            <w:vAlign w:val="center"/>
            <w:hideMark/>
          </w:tcPr>
          <w:p w14:paraId="1371CBD2"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82.58%</w:t>
            </w:r>
          </w:p>
        </w:tc>
      </w:tr>
      <w:tr w:rsidR="007A748E" w:rsidRPr="007A748E" w14:paraId="3227369F" w14:textId="77777777" w:rsidTr="00AD751D">
        <w:trPr>
          <w:trHeight w:val="300"/>
        </w:trPr>
        <w:tc>
          <w:tcPr>
            <w:tcW w:w="1057" w:type="pct"/>
            <w:tcBorders>
              <w:top w:val="nil"/>
              <w:left w:val="nil"/>
              <w:bottom w:val="nil"/>
              <w:right w:val="nil"/>
            </w:tcBorders>
            <w:shd w:val="clear" w:color="auto" w:fill="auto"/>
            <w:vAlign w:val="center"/>
            <w:hideMark/>
          </w:tcPr>
          <w:p w14:paraId="44E631D7"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HL8.6</w:t>
            </w:r>
          </w:p>
        </w:tc>
        <w:tc>
          <w:tcPr>
            <w:tcW w:w="1434" w:type="pct"/>
            <w:tcBorders>
              <w:top w:val="nil"/>
              <w:left w:val="nil"/>
              <w:bottom w:val="nil"/>
              <w:right w:val="nil"/>
            </w:tcBorders>
            <w:shd w:val="clear" w:color="auto" w:fill="auto"/>
            <w:vAlign w:val="center"/>
            <w:hideMark/>
          </w:tcPr>
          <w:p w14:paraId="4E12E3E4"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376,329,674</w:t>
            </w:r>
          </w:p>
        </w:tc>
        <w:tc>
          <w:tcPr>
            <w:tcW w:w="932" w:type="pct"/>
            <w:tcBorders>
              <w:top w:val="nil"/>
              <w:left w:val="nil"/>
              <w:bottom w:val="nil"/>
              <w:right w:val="nil"/>
            </w:tcBorders>
            <w:shd w:val="clear" w:color="auto" w:fill="auto"/>
            <w:vAlign w:val="center"/>
            <w:hideMark/>
          </w:tcPr>
          <w:p w14:paraId="45BD730D"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500</w:t>
            </w:r>
          </w:p>
        </w:tc>
        <w:tc>
          <w:tcPr>
            <w:tcW w:w="1093" w:type="pct"/>
            <w:tcBorders>
              <w:top w:val="nil"/>
              <w:left w:val="nil"/>
              <w:bottom w:val="nil"/>
              <w:right w:val="nil"/>
            </w:tcBorders>
            <w:shd w:val="clear" w:color="auto" w:fill="auto"/>
            <w:vAlign w:val="center"/>
            <w:hideMark/>
          </w:tcPr>
          <w:p w14:paraId="0FF38FAB"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332,800,750</w:t>
            </w:r>
          </w:p>
        </w:tc>
        <w:tc>
          <w:tcPr>
            <w:tcW w:w="484" w:type="pct"/>
            <w:tcBorders>
              <w:top w:val="nil"/>
              <w:left w:val="nil"/>
              <w:bottom w:val="nil"/>
              <w:right w:val="nil"/>
            </w:tcBorders>
            <w:shd w:val="clear" w:color="auto" w:fill="auto"/>
            <w:vAlign w:val="center"/>
            <w:hideMark/>
          </w:tcPr>
          <w:p w14:paraId="0DDB53B6"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88.43%</w:t>
            </w:r>
          </w:p>
        </w:tc>
      </w:tr>
      <w:tr w:rsidR="007A748E" w:rsidRPr="007A748E" w14:paraId="44ED6480" w14:textId="77777777" w:rsidTr="00AD751D">
        <w:trPr>
          <w:trHeight w:val="300"/>
        </w:trPr>
        <w:tc>
          <w:tcPr>
            <w:tcW w:w="1057" w:type="pct"/>
            <w:tcBorders>
              <w:top w:val="nil"/>
              <w:left w:val="nil"/>
              <w:bottom w:val="nil"/>
              <w:right w:val="nil"/>
            </w:tcBorders>
            <w:shd w:val="clear" w:color="auto" w:fill="auto"/>
            <w:vAlign w:val="center"/>
            <w:hideMark/>
          </w:tcPr>
          <w:p w14:paraId="256752DF"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HL8.7</w:t>
            </w:r>
          </w:p>
        </w:tc>
        <w:tc>
          <w:tcPr>
            <w:tcW w:w="1434" w:type="pct"/>
            <w:tcBorders>
              <w:top w:val="nil"/>
              <w:left w:val="nil"/>
              <w:bottom w:val="nil"/>
              <w:right w:val="nil"/>
            </w:tcBorders>
            <w:shd w:val="clear" w:color="auto" w:fill="auto"/>
            <w:vAlign w:val="center"/>
            <w:hideMark/>
          </w:tcPr>
          <w:p w14:paraId="07E2F814"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218,435,846</w:t>
            </w:r>
          </w:p>
        </w:tc>
        <w:tc>
          <w:tcPr>
            <w:tcW w:w="932" w:type="pct"/>
            <w:tcBorders>
              <w:top w:val="nil"/>
              <w:left w:val="nil"/>
              <w:bottom w:val="nil"/>
              <w:right w:val="nil"/>
            </w:tcBorders>
            <w:shd w:val="clear" w:color="auto" w:fill="auto"/>
            <w:vAlign w:val="center"/>
            <w:hideMark/>
          </w:tcPr>
          <w:p w14:paraId="2953BA2F"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800</w:t>
            </w:r>
          </w:p>
        </w:tc>
        <w:tc>
          <w:tcPr>
            <w:tcW w:w="1093" w:type="pct"/>
            <w:tcBorders>
              <w:top w:val="nil"/>
              <w:left w:val="nil"/>
              <w:bottom w:val="nil"/>
              <w:right w:val="nil"/>
            </w:tcBorders>
            <w:shd w:val="clear" w:color="auto" w:fill="auto"/>
            <w:vAlign w:val="center"/>
            <w:hideMark/>
          </w:tcPr>
          <w:p w14:paraId="0C1A6948"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160,517,058</w:t>
            </w:r>
          </w:p>
        </w:tc>
        <w:tc>
          <w:tcPr>
            <w:tcW w:w="484" w:type="pct"/>
            <w:tcBorders>
              <w:top w:val="nil"/>
              <w:left w:val="nil"/>
              <w:bottom w:val="nil"/>
              <w:right w:val="nil"/>
            </w:tcBorders>
            <w:shd w:val="clear" w:color="auto" w:fill="auto"/>
            <w:vAlign w:val="center"/>
            <w:hideMark/>
          </w:tcPr>
          <w:p w14:paraId="6C459837"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73.48%</w:t>
            </w:r>
          </w:p>
        </w:tc>
      </w:tr>
      <w:tr w:rsidR="007A748E" w:rsidRPr="007A748E" w14:paraId="02B9E14B" w14:textId="77777777" w:rsidTr="00AD751D">
        <w:trPr>
          <w:trHeight w:val="300"/>
        </w:trPr>
        <w:tc>
          <w:tcPr>
            <w:tcW w:w="1057" w:type="pct"/>
            <w:tcBorders>
              <w:top w:val="nil"/>
              <w:left w:val="nil"/>
              <w:bottom w:val="nil"/>
              <w:right w:val="nil"/>
            </w:tcBorders>
            <w:shd w:val="clear" w:color="auto" w:fill="auto"/>
            <w:vAlign w:val="center"/>
            <w:hideMark/>
          </w:tcPr>
          <w:p w14:paraId="62355957"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HL8.8</w:t>
            </w:r>
          </w:p>
        </w:tc>
        <w:tc>
          <w:tcPr>
            <w:tcW w:w="1434" w:type="pct"/>
            <w:tcBorders>
              <w:top w:val="nil"/>
              <w:left w:val="nil"/>
              <w:bottom w:val="nil"/>
              <w:right w:val="nil"/>
            </w:tcBorders>
            <w:shd w:val="clear" w:color="auto" w:fill="auto"/>
            <w:vAlign w:val="center"/>
            <w:hideMark/>
          </w:tcPr>
          <w:p w14:paraId="33B14C74"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228,831,248</w:t>
            </w:r>
          </w:p>
        </w:tc>
        <w:tc>
          <w:tcPr>
            <w:tcW w:w="932" w:type="pct"/>
            <w:tcBorders>
              <w:top w:val="nil"/>
              <w:left w:val="nil"/>
              <w:bottom w:val="nil"/>
              <w:right w:val="nil"/>
            </w:tcBorders>
            <w:shd w:val="clear" w:color="auto" w:fill="auto"/>
            <w:vAlign w:val="center"/>
            <w:hideMark/>
          </w:tcPr>
          <w:p w14:paraId="33CEBC8F"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800</w:t>
            </w:r>
          </w:p>
        </w:tc>
        <w:tc>
          <w:tcPr>
            <w:tcW w:w="1093" w:type="pct"/>
            <w:tcBorders>
              <w:top w:val="nil"/>
              <w:left w:val="nil"/>
              <w:bottom w:val="nil"/>
              <w:right w:val="nil"/>
            </w:tcBorders>
            <w:shd w:val="clear" w:color="auto" w:fill="auto"/>
            <w:vAlign w:val="center"/>
            <w:hideMark/>
          </w:tcPr>
          <w:p w14:paraId="1D24793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165,292,408</w:t>
            </w:r>
          </w:p>
        </w:tc>
        <w:tc>
          <w:tcPr>
            <w:tcW w:w="484" w:type="pct"/>
            <w:tcBorders>
              <w:top w:val="nil"/>
              <w:left w:val="nil"/>
              <w:bottom w:val="nil"/>
              <w:right w:val="nil"/>
            </w:tcBorders>
            <w:shd w:val="clear" w:color="auto" w:fill="auto"/>
            <w:vAlign w:val="center"/>
            <w:hideMark/>
          </w:tcPr>
          <w:p w14:paraId="1B4A0BF8"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72.23%</w:t>
            </w:r>
          </w:p>
        </w:tc>
      </w:tr>
      <w:tr w:rsidR="007A748E" w:rsidRPr="007A748E" w14:paraId="21A9AA7C" w14:textId="77777777" w:rsidTr="00AD751D">
        <w:trPr>
          <w:trHeight w:val="300"/>
        </w:trPr>
        <w:tc>
          <w:tcPr>
            <w:tcW w:w="1057" w:type="pct"/>
            <w:tcBorders>
              <w:top w:val="nil"/>
              <w:left w:val="nil"/>
              <w:bottom w:val="nil"/>
              <w:right w:val="nil"/>
            </w:tcBorders>
            <w:shd w:val="clear" w:color="auto" w:fill="auto"/>
            <w:vAlign w:val="center"/>
            <w:hideMark/>
          </w:tcPr>
          <w:p w14:paraId="3004B69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HL8.9</w:t>
            </w:r>
          </w:p>
        </w:tc>
        <w:tc>
          <w:tcPr>
            <w:tcW w:w="1434" w:type="pct"/>
            <w:tcBorders>
              <w:top w:val="nil"/>
              <w:left w:val="nil"/>
              <w:bottom w:val="nil"/>
              <w:right w:val="nil"/>
            </w:tcBorders>
            <w:shd w:val="clear" w:color="auto" w:fill="auto"/>
            <w:vAlign w:val="center"/>
            <w:hideMark/>
          </w:tcPr>
          <w:p w14:paraId="3FDC949F"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175,494,582</w:t>
            </w:r>
          </w:p>
        </w:tc>
        <w:tc>
          <w:tcPr>
            <w:tcW w:w="932" w:type="pct"/>
            <w:tcBorders>
              <w:top w:val="nil"/>
              <w:left w:val="nil"/>
              <w:bottom w:val="nil"/>
              <w:right w:val="nil"/>
            </w:tcBorders>
            <w:shd w:val="clear" w:color="auto" w:fill="auto"/>
            <w:vAlign w:val="center"/>
            <w:hideMark/>
          </w:tcPr>
          <w:p w14:paraId="0C3E6E3C"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800</w:t>
            </w:r>
          </w:p>
        </w:tc>
        <w:tc>
          <w:tcPr>
            <w:tcW w:w="1093" w:type="pct"/>
            <w:tcBorders>
              <w:top w:val="nil"/>
              <w:left w:val="nil"/>
              <w:bottom w:val="nil"/>
              <w:right w:val="nil"/>
            </w:tcBorders>
            <w:shd w:val="clear" w:color="auto" w:fill="auto"/>
            <w:vAlign w:val="center"/>
            <w:hideMark/>
          </w:tcPr>
          <w:p w14:paraId="52179870"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128,782,240</w:t>
            </w:r>
          </w:p>
        </w:tc>
        <w:tc>
          <w:tcPr>
            <w:tcW w:w="484" w:type="pct"/>
            <w:tcBorders>
              <w:top w:val="nil"/>
              <w:left w:val="nil"/>
              <w:bottom w:val="nil"/>
              <w:right w:val="nil"/>
            </w:tcBorders>
            <w:shd w:val="clear" w:color="auto" w:fill="auto"/>
            <w:vAlign w:val="center"/>
            <w:hideMark/>
          </w:tcPr>
          <w:p w14:paraId="6E3FD3B5"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73.38%</w:t>
            </w:r>
          </w:p>
        </w:tc>
      </w:tr>
      <w:tr w:rsidR="007A748E" w:rsidRPr="007A748E" w14:paraId="15F08E63" w14:textId="77777777" w:rsidTr="00AD751D">
        <w:trPr>
          <w:trHeight w:val="345"/>
        </w:trPr>
        <w:tc>
          <w:tcPr>
            <w:tcW w:w="1057" w:type="pct"/>
            <w:tcBorders>
              <w:top w:val="nil"/>
              <w:left w:val="nil"/>
              <w:bottom w:val="single" w:sz="8" w:space="0" w:color="auto"/>
              <w:right w:val="nil"/>
            </w:tcBorders>
            <w:shd w:val="clear" w:color="auto" w:fill="auto"/>
            <w:vAlign w:val="center"/>
            <w:hideMark/>
          </w:tcPr>
          <w:p w14:paraId="04FE27E6"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Total paired-end</w:t>
            </w:r>
          </w:p>
        </w:tc>
        <w:tc>
          <w:tcPr>
            <w:tcW w:w="1434" w:type="pct"/>
            <w:tcBorders>
              <w:top w:val="nil"/>
              <w:left w:val="nil"/>
              <w:bottom w:val="single" w:sz="8" w:space="0" w:color="auto"/>
              <w:right w:val="nil"/>
            </w:tcBorders>
            <w:shd w:val="clear" w:color="auto" w:fill="auto"/>
            <w:vAlign w:val="center"/>
            <w:hideMark/>
          </w:tcPr>
          <w:p w14:paraId="254D55A8"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2,530,132,102</w:t>
            </w:r>
          </w:p>
        </w:tc>
        <w:tc>
          <w:tcPr>
            <w:tcW w:w="932" w:type="pct"/>
            <w:tcBorders>
              <w:top w:val="nil"/>
              <w:left w:val="nil"/>
              <w:bottom w:val="single" w:sz="8" w:space="0" w:color="auto"/>
              <w:right w:val="nil"/>
            </w:tcBorders>
            <w:shd w:val="clear" w:color="auto" w:fill="auto"/>
            <w:vAlign w:val="center"/>
            <w:hideMark/>
          </w:tcPr>
          <w:p w14:paraId="22DBE33A"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 </w:t>
            </w:r>
          </w:p>
        </w:tc>
        <w:tc>
          <w:tcPr>
            <w:tcW w:w="1093" w:type="pct"/>
            <w:tcBorders>
              <w:top w:val="nil"/>
              <w:left w:val="nil"/>
              <w:bottom w:val="single" w:sz="8" w:space="0" w:color="auto"/>
              <w:right w:val="nil"/>
            </w:tcBorders>
            <w:shd w:val="clear" w:color="auto" w:fill="auto"/>
            <w:vAlign w:val="center"/>
            <w:hideMark/>
          </w:tcPr>
          <w:p w14:paraId="68A8EFB3"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2,120,377,398</w:t>
            </w:r>
          </w:p>
        </w:tc>
        <w:tc>
          <w:tcPr>
            <w:tcW w:w="484" w:type="pct"/>
            <w:tcBorders>
              <w:top w:val="nil"/>
              <w:left w:val="nil"/>
              <w:bottom w:val="single" w:sz="4" w:space="0" w:color="auto"/>
              <w:right w:val="nil"/>
            </w:tcBorders>
            <w:shd w:val="clear" w:color="auto" w:fill="auto"/>
            <w:vAlign w:val="center"/>
            <w:hideMark/>
          </w:tcPr>
          <w:p w14:paraId="340098BE"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83.81%</w:t>
            </w:r>
          </w:p>
        </w:tc>
      </w:tr>
      <w:tr w:rsidR="007A748E" w:rsidRPr="007A748E" w14:paraId="1AC46F17" w14:textId="77777777" w:rsidTr="00AD751D">
        <w:trPr>
          <w:trHeight w:val="300"/>
        </w:trPr>
        <w:tc>
          <w:tcPr>
            <w:tcW w:w="1057" w:type="pct"/>
            <w:tcBorders>
              <w:top w:val="nil"/>
              <w:left w:val="nil"/>
              <w:bottom w:val="nil"/>
              <w:right w:val="nil"/>
            </w:tcBorders>
            <w:shd w:val="clear" w:color="auto" w:fill="auto"/>
            <w:vAlign w:val="center"/>
            <w:hideMark/>
          </w:tcPr>
          <w:p w14:paraId="48932BE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HL8.10</w:t>
            </w:r>
          </w:p>
        </w:tc>
        <w:tc>
          <w:tcPr>
            <w:tcW w:w="1434" w:type="pct"/>
            <w:tcBorders>
              <w:top w:val="nil"/>
              <w:left w:val="nil"/>
              <w:bottom w:val="nil"/>
              <w:right w:val="nil"/>
            </w:tcBorders>
            <w:shd w:val="clear" w:color="auto" w:fill="auto"/>
            <w:vAlign w:val="center"/>
            <w:hideMark/>
          </w:tcPr>
          <w:p w14:paraId="51072E4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217,902,622</w:t>
            </w:r>
          </w:p>
        </w:tc>
        <w:tc>
          <w:tcPr>
            <w:tcW w:w="932" w:type="pct"/>
            <w:tcBorders>
              <w:top w:val="nil"/>
              <w:left w:val="nil"/>
              <w:bottom w:val="nil"/>
              <w:right w:val="nil"/>
            </w:tcBorders>
            <w:shd w:val="clear" w:color="auto" w:fill="auto"/>
            <w:vAlign w:val="center"/>
            <w:hideMark/>
          </w:tcPr>
          <w:p w14:paraId="1B865373"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2,000</w:t>
            </w:r>
          </w:p>
        </w:tc>
        <w:tc>
          <w:tcPr>
            <w:tcW w:w="1093" w:type="pct"/>
            <w:tcBorders>
              <w:top w:val="nil"/>
              <w:left w:val="nil"/>
              <w:bottom w:val="nil"/>
              <w:right w:val="nil"/>
            </w:tcBorders>
            <w:shd w:val="clear" w:color="auto" w:fill="auto"/>
            <w:vAlign w:val="center"/>
            <w:hideMark/>
          </w:tcPr>
          <w:p w14:paraId="0B3C2278"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189,416,746</w:t>
            </w:r>
          </w:p>
        </w:tc>
        <w:tc>
          <w:tcPr>
            <w:tcW w:w="484" w:type="pct"/>
            <w:tcBorders>
              <w:top w:val="single" w:sz="4" w:space="0" w:color="auto"/>
              <w:left w:val="nil"/>
              <w:bottom w:val="nil"/>
              <w:right w:val="nil"/>
            </w:tcBorders>
            <w:shd w:val="clear" w:color="auto" w:fill="auto"/>
            <w:vAlign w:val="center"/>
            <w:hideMark/>
          </w:tcPr>
          <w:p w14:paraId="1D031835"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86.93%</w:t>
            </w:r>
          </w:p>
        </w:tc>
      </w:tr>
      <w:tr w:rsidR="007A748E" w:rsidRPr="007A748E" w14:paraId="56F38CC1" w14:textId="77777777" w:rsidTr="00AD751D">
        <w:trPr>
          <w:trHeight w:val="300"/>
        </w:trPr>
        <w:tc>
          <w:tcPr>
            <w:tcW w:w="1057" w:type="pct"/>
            <w:tcBorders>
              <w:top w:val="nil"/>
              <w:left w:val="nil"/>
              <w:bottom w:val="nil"/>
              <w:right w:val="nil"/>
            </w:tcBorders>
            <w:shd w:val="clear" w:color="auto" w:fill="auto"/>
            <w:vAlign w:val="center"/>
            <w:hideMark/>
          </w:tcPr>
          <w:p w14:paraId="7CE683EB"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HL8.14</w:t>
            </w:r>
          </w:p>
        </w:tc>
        <w:tc>
          <w:tcPr>
            <w:tcW w:w="1434" w:type="pct"/>
            <w:tcBorders>
              <w:top w:val="nil"/>
              <w:left w:val="nil"/>
              <w:bottom w:val="nil"/>
              <w:right w:val="nil"/>
            </w:tcBorders>
            <w:shd w:val="clear" w:color="auto" w:fill="auto"/>
            <w:vAlign w:val="center"/>
            <w:hideMark/>
          </w:tcPr>
          <w:p w14:paraId="325FC1E9"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228,392,402</w:t>
            </w:r>
          </w:p>
        </w:tc>
        <w:tc>
          <w:tcPr>
            <w:tcW w:w="932" w:type="pct"/>
            <w:tcBorders>
              <w:top w:val="nil"/>
              <w:left w:val="nil"/>
              <w:bottom w:val="nil"/>
              <w:right w:val="nil"/>
            </w:tcBorders>
            <w:shd w:val="clear" w:color="auto" w:fill="auto"/>
            <w:vAlign w:val="center"/>
            <w:hideMark/>
          </w:tcPr>
          <w:p w14:paraId="1E9EE515"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2,000</w:t>
            </w:r>
          </w:p>
        </w:tc>
        <w:tc>
          <w:tcPr>
            <w:tcW w:w="1093" w:type="pct"/>
            <w:tcBorders>
              <w:top w:val="nil"/>
              <w:left w:val="nil"/>
              <w:bottom w:val="nil"/>
              <w:right w:val="nil"/>
            </w:tcBorders>
            <w:shd w:val="clear" w:color="auto" w:fill="auto"/>
            <w:vAlign w:val="center"/>
            <w:hideMark/>
          </w:tcPr>
          <w:p w14:paraId="50C71D83"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196,420,348</w:t>
            </w:r>
          </w:p>
        </w:tc>
        <w:tc>
          <w:tcPr>
            <w:tcW w:w="484" w:type="pct"/>
            <w:tcBorders>
              <w:top w:val="nil"/>
              <w:left w:val="nil"/>
              <w:bottom w:val="nil"/>
              <w:right w:val="nil"/>
            </w:tcBorders>
            <w:shd w:val="clear" w:color="auto" w:fill="auto"/>
            <w:vAlign w:val="center"/>
            <w:hideMark/>
          </w:tcPr>
          <w:p w14:paraId="01C3FDFD"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86.00%</w:t>
            </w:r>
          </w:p>
        </w:tc>
      </w:tr>
      <w:tr w:rsidR="007A748E" w:rsidRPr="007A748E" w14:paraId="0D00AB54" w14:textId="77777777" w:rsidTr="00AD751D">
        <w:trPr>
          <w:trHeight w:val="300"/>
        </w:trPr>
        <w:tc>
          <w:tcPr>
            <w:tcW w:w="1057" w:type="pct"/>
            <w:tcBorders>
              <w:top w:val="nil"/>
              <w:left w:val="nil"/>
              <w:bottom w:val="nil"/>
              <w:right w:val="nil"/>
            </w:tcBorders>
            <w:shd w:val="clear" w:color="auto" w:fill="auto"/>
            <w:vAlign w:val="center"/>
            <w:hideMark/>
          </w:tcPr>
          <w:p w14:paraId="586BAAA5"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HL8.16</w:t>
            </w:r>
          </w:p>
        </w:tc>
        <w:tc>
          <w:tcPr>
            <w:tcW w:w="1434" w:type="pct"/>
            <w:tcBorders>
              <w:top w:val="nil"/>
              <w:left w:val="nil"/>
              <w:bottom w:val="nil"/>
              <w:right w:val="nil"/>
            </w:tcBorders>
            <w:shd w:val="clear" w:color="auto" w:fill="auto"/>
            <w:vAlign w:val="center"/>
            <w:hideMark/>
          </w:tcPr>
          <w:p w14:paraId="357E675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224,235,198</w:t>
            </w:r>
          </w:p>
        </w:tc>
        <w:tc>
          <w:tcPr>
            <w:tcW w:w="932" w:type="pct"/>
            <w:tcBorders>
              <w:top w:val="nil"/>
              <w:left w:val="nil"/>
              <w:bottom w:val="nil"/>
              <w:right w:val="nil"/>
            </w:tcBorders>
            <w:shd w:val="clear" w:color="auto" w:fill="auto"/>
            <w:vAlign w:val="center"/>
            <w:hideMark/>
          </w:tcPr>
          <w:p w14:paraId="4D4E4D1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2,000</w:t>
            </w:r>
          </w:p>
        </w:tc>
        <w:tc>
          <w:tcPr>
            <w:tcW w:w="1093" w:type="pct"/>
            <w:tcBorders>
              <w:top w:val="nil"/>
              <w:left w:val="nil"/>
              <w:bottom w:val="nil"/>
              <w:right w:val="nil"/>
            </w:tcBorders>
            <w:shd w:val="clear" w:color="auto" w:fill="auto"/>
            <w:vAlign w:val="center"/>
            <w:hideMark/>
          </w:tcPr>
          <w:p w14:paraId="4FEF5952"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195,654,282</w:t>
            </w:r>
          </w:p>
        </w:tc>
        <w:tc>
          <w:tcPr>
            <w:tcW w:w="484" w:type="pct"/>
            <w:tcBorders>
              <w:top w:val="nil"/>
              <w:left w:val="nil"/>
              <w:bottom w:val="nil"/>
              <w:right w:val="nil"/>
            </w:tcBorders>
            <w:shd w:val="clear" w:color="auto" w:fill="auto"/>
            <w:vAlign w:val="center"/>
            <w:hideMark/>
          </w:tcPr>
          <w:p w14:paraId="2C4277F5"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87.25%</w:t>
            </w:r>
          </w:p>
        </w:tc>
      </w:tr>
      <w:tr w:rsidR="007A748E" w:rsidRPr="007A748E" w14:paraId="6623678C" w14:textId="77777777" w:rsidTr="00AD751D">
        <w:trPr>
          <w:trHeight w:val="300"/>
        </w:trPr>
        <w:tc>
          <w:tcPr>
            <w:tcW w:w="1057" w:type="pct"/>
            <w:tcBorders>
              <w:top w:val="nil"/>
              <w:left w:val="nil"/>
              <w:bottom w:val="nil"/>
              <w:right w:val="nil"/>
            </w:tcBorders>
            <w:shd w:val="clear" w:color="auto" w:fill="auto"/>
            <w:vAlign w:val="center"/>
            <w:hideMark/>
          </w:tcPr>
          <w:p w14:paraId="6DB96744"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Sob19</w:t>
            </w:r>
          </w:p>
        </w:tc>
        <w:tc>
          <w:tcPr>
            <w:tcW w:w="1434" w:type="pct"/>
            <w:tcBorders>
              <w:top w:val="nil"/>
              <w:left w:val="nil"/>
              <w:bottom w:val="nil"/>
              <w:right w:val="nil"/>
            </w:tcBorders>
            <w:shd w:val="clear" w:color="auto" w:fill="auto"/>
            <w:vAlign w:val="center"/>
            <w:hideMark/>
          </w:tcPr>
          <w:p w14:paraId="7CBB8CEB"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277,442,886</w:t>
            </w:r>
          </w:p>
        </w:tc>
        <w:tc>
          <w:tcPr>
            <w:tcW w:w="932" w:type="pct"/>
            <w:tcBorders>
              <w:top w:val="nil"/>
              <w:left w:val="nil"/>
              <w:bottom w:val="nil"/>
              <w:right w:val="nil"/>
            </w:tcBorders>
            <w:shd w:val="clear" w:color="auto" w:fill="auto"/>
            <w:vAlign w:val="center"/>
            <w:hideMark/>
          </w:tcPr>
          <w:p w14:paraId="4219FEE5"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2,000</w:t>
            </w:r>
          </w:p>
        </w:tc>
        <w:tc>
          <w:tcPr>
            <w:tcW w:w="1093" w:type="pct"/>
            <w:tcBorders>
              <w:top w:val="nil"/>
              <w:left w:val="nil"/>
              <w:bottom w:val="nil"/>
              <w:right w:val="nil"/>
            </w:tcBorders>
            <w:shd w:val="clear" w:color="auto" w:fill="auto"/>
            <w:vAlign w:val="center"/>
            <w:hideMark/>
          </w:tcPr>
          <w:p w14:paraId="7A5463D7"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236,518,096</w:t>
            </w:r>
          </w:p>
        </w:tc>
        <w:tc>
          <w:tcPr>
            <w:tcW w:w="484" w:type="pct"/>
            <w:tcBorders>
              <w:top w:val="nil"/>
              <w:left w:val="nil"/>
              <w:bottom w:val="nil"/>
              <w:right w:val="nil"/>
            </w:tcBorders>
            <w:shd w:val="clear" w:color="auto" w:fill="auto"/>
            <w:vAlign w:val="center"/>
            <w:hideMark/>
          </w:tcPr>
          <w:p w14:paraId="12872858"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85.25%</w:t>
            </w:r>
          </w:p>
        </w:tc>
      </w:tr>
      <w:tr w:rsidR="007A748E" w:rsidRPr="007A748E" w14:paraId="19E46E8D" w14:textId="77777777" w:rsidTr="00AD751D">
        <w:trPr>
          <w:trHeight w:val="300"/>
        </w:trPr>
        <w:tc>
          <w:tcPr>
            <w:tcW w:w="1057" w:type="pct"/>
            <w:tcBorders>
              <w:top w:val="nil"/>
              <w:left w:val="nil"/>
              <w:bottom w:val="nil"/>
              <w:right w:val="nil"/>
            </w:tcBorders>
            <w:shd w:val="clear" w:color="auto" w:fill="auto"/>
            <w:vAlign w:val="center"/>
            <w:hideMark/>
          </w:tcPr>
          <w:p w14:paraId="77484CCF"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Sob20</w:t>
            </w:r>
          </w:p>
        </w:tc>
        <w:tc>
          <w:tcPr>
            <w:tcW w:w="1434" w:type="pct"/>
            <w:tcBorders>
              <w:top w:val="nil"/>
              <w:left w:val="nil"/>
              <w:bottom w:val="nil"/>
              <w:right w:val="nil"/>
            </w:tcBorders>
            <w:shd w:val="clear" w:color="auto" w:fill="auto"/>
            <w:vAlign w:val="center"/>
            <w:hideMark/>
          </w:tcPr>
          <w:p w14:paraId="2BB79112"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189,991,228</w:t>
            </w:r>
          </w:p>
        </w:tc>
        <w:tc>
          <w:tcPr>
            <w:tcW w:w="932" w:type="pct"/>
            <w:tcBorders>
              <w:top w:val="nil"/>
              <w:left w:val="nil"/>
              <w:bottom w:val="nil"/>
              <w:right w:val="nil"/>
            </w:tcBorders>
            <w:shd w:val="clear" w:color="auto" w:fill="auto"/>
            <w:vAlign w:val="center"/>
            <w:hideMark/>
          </w:tcPr>
          <w:p w14:paraId="3C451A5C"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2,000</w:t>
            </w:r>
          </w:p>
        </w:tc>
        <w:tc>
          <w:tcPr>
            <w:tcW w:w="1093" w:type="pct"/>
            <w:tcBorders>
              <w:top w:val="nil"/>
              <w:left w:val="nil"/>
              <w:bottom w:val="nil"/>
              <w:right w:val="nil"/>
            </w:tcBorders>
            <w:shd w:val="clear" w:color="auto" w:fill="auto"/>
            <w:vAlign w:val="center"/>
            <w:hideMark/>
          </w:tcPr>
          <w:p w14:paraId="42110574"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161,768,988</w:t>
            </w:r>
          </w:p>
        </w:tc>
        <w:tc>
          <w:tcPr>
            <w:tcW w:w="484" w:type="pct"/>
            <w:tcBorders>
              <w:top w:val="nil"/>
              <w:left w:val="nil"/>
              <w:bottom w:val="nil"/>
              <w:right w:val="nil"/>
            </w:tcBorders>
            <w:shd w:val="clear" w:color="auto" w:fill="auto"/>
            <w:vAlign w:val="center"/>
            <w:hideMark/>
          </w:tcPr>
          <w:p w14:paraId="220AF84D"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85.15%</w:t>
            </w:r>
          </w:p>
        </w:tc>
      </w:tr>
      <w:tr w:rsidR="007A748E" w:rsidRPr="007A748E" w14:paraId="5173444B" w14:textId="77777777" w:rsidTr="00AD751D">
        <w:trPr>
          <w:trHeight w:val="300"/>
        </w:trPr>
        <w:tc>
          <w:tcPr>
            <w:tcW w:w="1057" w:type="pct"/>
            <w:tcBorders>
              <w:top w:val="nil"/>
              <w:left w:val="nil"/>
              <w:bottom w:val="nil"/>
              <w:right w:val="nil"/>
            </w:tcBorders>
            <w:shd w:val="clear" w:color="auto" w:fill="auto"/>
            <w:vAlign w:val="center"/>
            <w:hideMark/>
          </w:tcPr>
          <w:p w14:paraId="6B71E31F"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Sob21</w:t>
            </w:r>
          </w:p>
        </w:tc>
        <w:tc>
          <w:tcPr>
            <w:tcW w:w="1434" w:type="pct"/>
            <w:tcBorders>
              <w:top w:val="nil"/>
              <w:left w:val="nil"/>
              <w:bottom w:val="nil"/>
              <w:right w:val="nil"/>
            </w:tcBorders>
            <w:shd w:val="clear" w:color="auto" w:fill="auto"/>
            <w:vAlign w:val="center"/>
            <w:hideMark/>
          </w:tcPr>
          <w:p w14:paraId="0B231C8B"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281,147,166</w:t>
            </w:r>
          </w:p>
        </w:tc>
        <w:tc>
          <w:tcPr>
            <w:tcW w:w="932" w:type="pct"/>
            <w:tcBorders>
              <w:top w:val="nil"/>
              <w:left w:val="nil"/>
              <w:bottom w:val="nil"/>
              <w:right w:val="nil"/>
            </w:tcBorders>
            <w:shd w:val="clear" w:color="auto" w:fill="auto"/>
            <w:vAlign w:val="center"/>
            <w:hideMark/>
          </w:tcPr>
          <w:p w14:paraId="5D0AB2C6"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2,000</w:t>
            </w:r>
          </w:p>
        </w:tc>
        <w:tc>
          <w:tcPr>
            <w:tcW w:w="1093" w:type="pct"/>
            <w:tcBorders>
              <w:top w:val="nil"/>
              <w:left w:val="nil"/>
              <w:bottom w:val="nil"/>
              <w:right w:val="nil"/>
            </w:tcBorders>
            <w:shd w:val="clear" w:color="auto" w:fill="auto"/>
            <w:vAlign w:val="center"/>
            <w:hideMark/>
          </w:tcPr>
          <w:p w14:paraId="7E792B32"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237,842,630</w:t>
            </w:r>
          </w:p>
        </w:tc>
        <w:tc>
          <w:tcPr>
            <w:tcW w:w="484" w:type="pct"/>
            <w:tcBorders>
              <w:top w:val="nil"/>
              <w:left w:val="nil"/>
              <w:bottom w:val="nil"/>
              <w:right w:val="nil"/>
            </w:tcBorders>
            <w:shd w:val="clear" w:color="auto" w:fill="auto"/>
            <w:vAlign w:val="center"/>
            <w:hideMark/>
          </w:tcPr>
          <w:p w14:paraId="097B1221"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84.60%</w:t>
            </w:r>
          </w:p>
        </w:tc>
      </w:tr>
      <w:tr w:rsidR="007A748E" w:rsidRPr="007A748E" w14:paraId="5BFF05CE" w14:textId="77777777" w:rsidTr="00AD751D">
        <w:trPr>
          <w:trHeight w:val="300"/>
        </w:trPr>
        <w:tc>
          <w:tcPr>
            <w:tcW w:w="1057" w:type="pct"/>
            <w:tcBorders>
              <w:top w:val="nil"/>
              <w:left w:val="nil"/>
              <w:bottom w:val="nil"/>
              <w:right w:val="nil"/>
            </w:tcBorders>
            <w:shd w:val="clear" w:color="auto" w:fill="auto"/>
            <w:vAlign w:val="center"/>
            <w:hideMark/>
          </w:tcPr>
          <w:p w14:paraId="4E0FD5F3"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Sob15</w:t>
            </w:r>
          </w:p>
        </w:tc>
        <w:tc>
          <w:tcPr>
            <w:tcW w:w="1434" w:type="pct"/>
            <w:tcBorders>
              <w:top w:val="nil"/>
              <w:left w:val="nil"/>
              <w:bottom w:val="nil"/>
              <w:right w:val="nil"/>
            </w:tcBorders>
            <w:shd w:val="clear" w:color="auto" w:fill="auto"/>
            <w:vAlign w:val="center"/>
            <w:hideMark/>
          </w:tcPr>
          <w:p w14:paraId="508FA9E9"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197,695,978</w:t>
            </w:r>
          </w:p>
        </w:tc>
        <w:tc>
          <w:tcPr>
            <w:tcW w:w="932" w:type="pct"/>
            <w:tcBorders>
              <w:top w:val="nil"/>
              <w:left w:val="nil"/>
              <w:bottom w:val="nil"/>
              <w:right w:val="nil"/>
            </w:tcBorders>
            <w:shd w:val="clear" w:color="auto" w:fill="auto"/>
            <w:vAlign w:val="center"/>
            <w:hideMark/>
          </w:tcPr>
          <w:p w14:paraId="3276394B"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5,000</w:t>
            </w:r>
          </w:p>
        </w:tc>
        <w:tc>
          <w:tcPr>
            <w:tcW w:w="1093" w:type="pct"/>
            <w:tcBorders>
              <w:top w:val="nil"/>
              <w:left w:val="nil"/>
              <w:bottom w:val="nil"/>
              <w:right w:val="nil"/>
            </w:tcBorders>
            <w:shd w:val="clear" w:color="auto" w:fill="auto"/>
            <w:vAlign w:val="center"/>
            <w:hideMark/>
          </w:tcPr>
          <w:p w14:paraId="7C80D06D"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168,796,986</w:t>
            </w:r>
          </w:p>
        </w:tc>
        <w:tc>
          <w:tcPr>
            <w:tcW w:w="484" w:type="pct"/>
            <w:tcBorders>
              <w:top w:val="nil"/>
              <w:left w:val="nil"/>
              <w:bottom w:val="nil"/>
              <w:right w:val="nil"/>
            </w:tcBorders>
            <w:shd w:val="clear" w:color="auto" w:fill="auto"/>
            <w:vAlign w:val="center"/>
            <w:hideMark/>
          </w:tcPr>
          <w:p w14:paraId="74C8F229"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85.38%</w:t>
            </w:r>
          </w:p>
        </w:tc>
      </w:tr>
      <w:tr w:rsidR="007A748E" w:rsidRPr="007A748E" w14:paraId="52560184" w14:textId="77777777" w:rsidTr="00AD751D">
        <w:trPr>
          <w:trHeight w:val="300"/>
        </w:trPr>
        <w:tc>
          <w:tcPr>
            <w:tcW w:w="1057" w:type="pct"/>
            <w:tcBorders>
              <w:top w:val="nil"/>
              <w:left w:val="nil"/>
              <w:bottom w:val="nil"/>
              <w:right w:val="nil"/>
            </w:tcBorders>
            <w:shd w:val="clear" w:color="auto" w:fill="auto"/>
            <w:vAlign w:val="center"/>
            <w:hideMark/>
          </w:tcPr>
          <w:p w14:paraId="618E93DD"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Sob17</w:t>
            </w:r>
          </w:p>
        </w:tc>
        <w:tc>
          <w:tcPr>
            <w:tcW w:w="1434" w:type="pct"/>
            <w:tcBorders>
              <w:top w:val="nil"/>
              <w:left w:val="nil"/>
              <w:bottom w:val="nil"/>
              <w:right w:val="nil"/>
            </w:tcBorders>
            <w:shd w:val="clear" w:color="auto" w:fill="auto"/>
            <w:vAlign w:val="center"/>
            <w:hideMark/>
          </w:tcPr>
          <w:p w14:paraId="35CB71EF"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158,274,708</w:t>
            </w:r>
          </w:p>
        </w:tc>
        <w:tc>
          <w:tcPr>
            <w:tcW w:w="932" w:type="pct"/>
            <w:tcBorders>
              <w:top w:val="nil"/>
              <w:left w:val="nil"/>
              <w:bottom w:val="nil"/>
              <w:right w:val="nil"/>
            </w:tcBorders>
            <w:shd w:val="clear" w:color="auto" w:fill="auto"/>
            <w:vAlign w:val="center"/>
            <w:hideMark/>
          </w:tcPr>
          <w:p w14:paraId="58DE9FD6"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5,000</w:t>
            </w:r>
          </w:p>
        </w:tc>
        <w:tc>
          <w:tcPr>
            <w:tcW w:w="1093" w:type="pct"/>
            <w:tcBorders>
              <w:top w:val="nil"/>
              <w:left w:val="nil"/>
              <w:bottom w:val="nil"/>
              <w:right w:val="nil"/>
            </w:tcBorders>
            <w:shd w:val="clear" w:color="auto" w:fill="auto"/>
            <w:vAlign w:val="center"/>
            <w:hideMark/>
          </w:tcPr>
          <w:p w14:paraId="6FA6AF8D"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129,562,092</w:t>
            </w:r>
          </w:p>
        </w:tc>
        <w:tc>
          <w:tcPr>
            <w:tcW w:w="484" w:type="pct"/>
            <w:tcBorders>
              <w:top w:val="nil"/>
              <w:left w:val="nil"/>
              <w:bottom w:val="nil"/>
              <w:right w:val="nil"/>
            </w:tcBorders>
            <w:shd w:val="clear" w:color="auto" w:fill="auto"/>
            <w:vAlign w:val="center"/>
            <w:hideMark/>
          </w:tcPr>
          <w:p w14:paraId="68A9BA1E"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81.86%</w:t>
            </w:r>
          </w:p>
        </w:tc>
      </w:tr>
      <w:tr w:rsidR="007A748E" w:rsidRPr="007A748E" w14:paraId="3DC5B3A8" w14:textId="77777777" w:rsidTr="00AD751D">
        <w:trPr>
          <w:trHeight w:val="300"/>
        </w:trPr>
        <w:tc>
          <w:tcPr>
            <w:tcW w:w="1057" w:type="pct"/>
            <w:tcBorders>
              <w:top w:val="nil"/>
              <w:left w:val="nil"/>
              <w:bottom w:val="nil"/>
              <w:right w:val="nil"/>
            </w:tcBorders>
            <w:shd w:val="clear" w:color="auto" w:fill="auto"/>
            <w:vAlign w:val="center"/>
            <w:hideMark/>
          </w:tcPr>
          <w:p w14:paraId="4884FF04"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Sob18</w:t>
            </w:r>
          </w:p>
        </w:tc>
        <w:tc>
          <w:tcPr>
            <w:tcW w:w="1434" w:type="pct"/>
            <w:tcBorders>
              <w:top w:val="nil"/>
              <w:left w:val="nil"/>
              <w:bottom w:val="nil"/>
              <w:right w:val="nil"/>
            </w:tcBorders>
            <w:shd w:val="clear" w:color="auto" w:fill="auto"/>
            <w:vAlign w:val="center"/>
            <w:hideMark/>
          </w:tcPr>
          <w:p w14:paraId="31382308"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145,996,776</w:t>
            </w:r>
          </w:p>
        </w:tc>
        <w:tc>
          <w:tcPr>
            <w:tcW w:w="932" w:type="pct"/>
            <w:tcBorders>
              <w:top w:val="nil"/>
              <w:left w:val="nil"/>
              <w:bottom w:val="nil"/>
              <w:right w:val="nil"/>
            </w:tcBorders>
            <w:shd w:val="clear" w:color="auto" w:fill="auto"/>
            <w:vAlign w:val="center"/>
            <w:hideMark/>
          </w:tcPr>
          <w:p w14:paraId="51A4B6EF"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5,000</w:t>
            </w:r>
          </w:p>
        </w:tc>
        <w:tc>
          <w:tcPr>
            <w:tcW w:w="1093" w:type="pct"/>
            <w:tcBorders>
              <w:top w:val="nil"/>
              <w:left w:val="nil"/>
              <w:bottom w:val="nil"/>
              <w:right w:val="nil"/>
            </w:tcBorders>
            <w:shd w:val="clear" w:color="auto" w:fill="auto"/>
            <w:vAlign w:val="center"/>
            <w:hideMark/>
          </w:tcPr>
          <w:p w14:paraId="370ABE2D"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122,714,074</w:t>
            </w:r>
          </w:p>
        </w:tc>
        <w:tc>
          <w:tcPr>
            <w:tcW w:w="484" w:type="pct"/>
            <w:tcBorders>
              <w:top w:val="nil"/>
              <w:left w:val="nil"/>
              <w:bottom w:val="nil"/>
              <w:right w:val="nil"/>
            </w:tcBorders>
            <w:shd w:val="clear" w:color="auto" w:fill="auto"/>
            <w:vAlign w:val="center"/>
            <w:hideMark/>
          </w:tcPr>
          <w:p w14:paraId="322E8589"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84.05%</w:t>
            </w:r>
          </w:p>
        </w:tc>
      </w:tr>
      <w:tr w:rsidR="007A748E" w:rsidRPr="007A748E" w14:paraId="2B6EBBA5" w14:textId="77777777" w:rsidTr="00AD751D">
        <w:trPr>
          <w:trHeight w:val="315"/>
        </w:trPr>
        <w:tc>
          <w:tcPr>
            <w:tcW w:w="1057" w:type="pct"/>
            <w:tcBorders>
              <w:top w:val="nil"/>
              <w:left w:val="nil"/>
              <w:bottom w:val="single" w:sz="8" w:space="0" w:color="auto"/>
              <w:right w:val="nil"/>
            </w:tcBorders>
            <w:shd w:val="clear" w:color="auto" w:fill="auto"/>
            <w:vAlign w:val="center"/>
            <w:hideMark/>
          </w:tcPr>
          <w:p w14:paraId="648A1A88"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Total mate-pair</w:t>
            </w:r>
          </w:p>
        </w:tc>
        <w:tc>
          <w:tcPr>
            <w:tcW w:w="1434" w:type="pct"/>
            <w:tcBorders>
              <w:top w:val="nil"/>
              <w:left w:val="nil"/>
              <w:bottom w:val="single" w:sz="8" w:space="0" w:color="auto"/>
              <w:right w:val="nil"/>
            </w:tcBorders>
            <w:shd w:val="clear" w:color="auto" w:fill="auto"/>
            <w:vAlign w:val="center"/>
            <w:hideMark/>
          </w:tcPr>
          <w:p w14:paraId="2128BFD4"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1,921,078,964</w:t>
            </w:r>
          </w:p>
        </w:tc>
        <w:tc>
          <w:tcPr>
            <w:tcW w:w="932" w:type="pct"/>
            <w:tcBorders>
              <w:top w:val="nil"/>
              <w:left w:val="nil"/>
              <w:bottom w:val="single" w:sz="8" w:space="0" w:color="auto"/>
              <w:right w:val="nil"/>
            </w:tcBorders>
            <w:shd w:val="clear" w:color="auto" w:fill="auto"/>
            <w:vAlign w:val="center"/>
            <w:hideMark/>
          </w:tcPr>
          <w:p w14:paraId="3353FB7D"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 </w:t>
            </w:r>
          </w:p>
        </w:tc>
        <w:tc>
          <w:tcPr>
            <w:tcW w:w="1093" w:type="pct"/>
            <w:tcBorders>
              <w:top w:val="nil"/>
              <w:left w:val="nil"/>
              <w:bottom w:val="single" w:sz="8" w:space="0" w:color="auto"/>
              <w:right w:val="nil"/>
            </w:tcBorders>
            <w:shd w:val="clear" w:color="auto" w:fill="auto"/>
            <w:vAlign w:val="center"/>
            <w:hideMark/>
          </w:tcPr>
          <w:p w14:paraId="37E3AB39"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1,638,694,242</w:t>
            </w:r>
          </w:p>
        </w:tc>
        <w:tc>
          <w:tcPr>
            <w:tcW w:w="484" w:type="pct"/>
            <w:tcBorders>
              <w:top w:val="nil"/>
              <w:left w:val="nil"/>
              <w:bottom w:val="single" w:sz="4" w:space="0" w:color="auto"/>
              <w:right w:val="nil"/>
            </w:tcBorders>
            <w:shd w:val="clear" w:color="auto" w:fill="auto"/>
            <w:vAlign w:val="center"/>
            <w:hideMark/>
          </w:tcPr>
          <w:p w14:paraId="342C881E" w14:textId="77777777" w:rsidR="007A748E" w:rsidRPr="007A748E" w:rsidRDefault="007A748E" w:rsidP="007A748E">
            <w:pPr>
              <w:spacing w:after="0" w:line="360" w:lineRule="auto"/>
              <w:jc w:val="center"/>
              <w:rPr>
                <w:rFonts w:ascii="Calibri" w:eastAsia="Times New Roman" w:hAnsi="Calibri" w:cs="Calibri"/>
                <w:color w:val="000000"/>
                <w:sz w:val="24"/>
                <w:szCs w:val="24"/>
              </w:rPr>
            </w:pPr>
            <w:r w:rsidRPr="007A748E">
              <w:rPr>
                <w:rFonts w:ascii="Calibri" w:eastAsia="Times New Roman" w:hAnsi="Calibri" w:cs="Calibri"/>
                <w:color w:val="000000"/>
                <w:sz w:val="24"/>
                <w:szCs w:val="24"/>
              </w:rPr>
              <w:t>85.30%</w:t>
            </w:r>
          </w:p>
        </w:tc>
      </w:tr>
    </w:tbl>
    <w:p w14:paraId="52216D20" w14:textId="77777777" w:rsidR="007A748E" w:rsidRPr="007A748E" w:rsidRDefault="007A748E" w:rsidP="007A748E">
      <w:pPr>
        <w:spacing w:line="480" w:lineRule="auto"/>
        <w:jc w:val="both"/>
        <w:rPr>
          <w:sz w:val="24"/>
          <w:szCs w:val="24"/>
        </w:rPr>
      </w:pPr>
    </w:p>
    <w:p w14:paraId="676449B4" w14:textId="77777777" w:rsidR="007A748E" w:rsidRDefault="007A748E" w:rsidP="007A748E">
      <w:pPr>
        <w:spacing w:line="480" w:lineRule="auto"/>
        <w:jc w:val="both"/>
        <w:rPr>
          <w:b/>
          <w:sz w:val="24"/>
          <w:szCs w:val="24"/>
        </w:rPr>
      </w:pPr>
    </w:p>
    <w:p w14:paraId="0D6C5982" w14:textId="77777777" w:rsidR="007A748E" w:rsidRDefault="007A748E" w:rsidP="007A748E">
      <w:pPr>
        <w:spacing w:line="480" w:lineRule="auto"/>
        <w:jc w:val="both"/>
        <w:rPr>
          <w:b/>
          <w:sz w:val="24"/>
          <w:szCs w:val="24"/>
        </w:rPr>
      </w:pPr>
    </w:p>
    <w:p w14:paraId="10B27EE9" w14:textId="77777777" w:rsidR="00C82A3B" w:rsidRPr="007A748E" w:rsidRDefault="007A748E" w:rsidP="007A748E">
      <w:pPr>
        <w:spacing w:line="480" w:lineRule="auto"/>
        <w:jc w:val="both"/>
        <w:rPr>
          <w:b/>
          <w:sz w:val="24"/>
          <w:szCs w:val="24"/>
        </w:rPr>
      </w:pPr>
      <w:proofErr w:type="spellStart"/>
      <w:r w:rsidRPr="007A748E">
        <w:rPr>
          <w:b/>
          <w:sz w:val="24"/>
          <w:szCs w:val="24"/>
        </w:rPr>
        <w:lastRenderedPageBreak/>
        <w:t>Bibiography</w:t>
      </w:r>
      <w:proofErr w:type="spellEnd"/>
    </w:p>
    <w:p w14:paraId="2ABB6A57" w14:textId="77777777" w:rsidR="008A79E1" w:rsidRPr="007A748E" w:rsidRDefault="00C82A3B" w:rsidP="007A748E">
      <w:pPr>
        <w:widowControl w:val="0"/>
        <w:autoSpaceDE w:val="0"/>
        <w:autoSpaceDN w:val="0"/>
        <w:adjustRightInd w:val="0"/>
        <w:spacing w:line="480" w:lineRule="auto"/>
        <w:ind w:left="640" w:hanging="640"/>
        <w:rPr>
          <w:rFonts w:ascii="Calibri" w:hAnsi="Calibri" w:cs="Calibri"/>
          <w:noProof/>
          <w:sz w:val="24"/>
          <w:szCs w:val="24"/>
        </w:rPr>
      </w:pPr>
      <w:r w:rsidRPr="007A748E">
        <w:rPr>
          <w:sz w:val="24"/>
          <w:szCs w:val="24"/>
        </w:rPr>
        <w:fldChar w:fldCharType="begin" w:fldLock="1"/>
      </w:r>
      <w:r w:rsidRPr="007A748E">
        <w:rPr>
          <w:sz w:val="24"/>
          <w:szCs w:val="24"/>
        </w:rPr>
        <w:instrText xml:space="preserve">ADDIN Mendeley Bibliography CSL_BIBLIOGRAPHY </w:instrText>
      </w:r>
      <w:r w:rsidRPr="007A748E">
        <w:rPr>
          <w:sz w:val="24"/>
          <w:szCs w:val="24"/>
        </w:rPr>
        <w:fldChar w:fldCharType="separate"/>
      </w:r>
      <w:r w:rsidR="008A79E1" w:rsidRPr="007A748E">
        <w:rPr>
          <w:rFonts w:ascii="Calibri" w:hAnsi="Calibri" w:cs="Calibri"/>
          <w:noProof/>
          <w:sz w:val="24"/>
          <w:szCs w:val="24"/>
        </w:rPr>
        <w:t xml:space="preserve">1. </w:t>
      </w:r>
      <w:r w:rsidR="008A79E1" w:rsidRPr="007A748E">
        <w:rPr>
          <w:rFonts w:ascii="Calibri" w:hAnsi="Calibri" w:cs="Calibri"/>
          <w:noProof/>
          <w:sz w:val="24"/>
          <w:szCs w:val="24"/>
        </w:rPr>
        <w:tab/>
        <w:t>Joshi NA FJ. Sickle: A sliding-window, adaptive, quality-based trimming tool for FastQ files [Internet]. 2011. Available: https://github.com/najoshi/sickle</w:t>
      </w:r>
    </w:p>
    <w:p w14:paraId="72EB6032" w14:textId="77777777" w:rsidR="008A79E1" w:rsidRPr="007A748E" w:rsidRDefault="008A79E1" w:rsidP="007A748E">
      <w:pPr>
        <w:widowControl w:val="0"/>
        <w:autoSpaceDE w:val="0"/>
        <w:autoSpaceDN w:val="0"/>
        <w:adjustRightInd w:val="0"/>
        <w:spacing w:line="480" w:lineRule="auto"/>
        <w:ind w:left="640" w:hanging="640"/>
        <w:rPr>
          <w:rFonts w:ascii="Calibri" w:hAnsi="Calibri" w:cs="Calibri"/>
          <w:noProof/>
          <w:sz w:val="24"/>
          <w:szCs w:val="24"/>
        </w:rPr>
      </w:pPr>
      <w:r w:rsidRPr="007A748E">
        <w:rPr>
          <w:rFonts w:ascii="Calibri" w:hAnsi="Calibri" w:cs="Calibri"/>
          <w:noProof/>
          <w:sz w:val="24"/>
          <w:szCs w:val="24"/>
        </w:rPr>
        <w:t xml:space="preserve">2. </w:t>
      </w:r>
      <w:r w:rsidRPr="007A748E">
        <w:rPr>
          <w:rFonts w:ascii="Calibri" w:hAnsi="Calibri" w:cs="Calibri"/>
          <w:noProof/>
          <w:sz w:val="24"/>
          <w:szCs w:val="24"/>
        </w:rPr>
        <w:tab/>
        <w:t>Simpson JT. Exploring Genome Characteristics and Sequence Quality Without a Reference. 2013; Available: http://arxiv.org/abs/1307.8026</w:t>
      </w:r>
    </w:p>
    <w:p w14:paraId="4AD66123" w14:textId="77777777" w:rsidR="008A79E1" w:rsidRPr="007A748E" w:rsidRDefault="008A79E1" w:rsidP="007A748E">
      <w:pPr>
        <w:widowControl w:val="0"/>
        <w:autoSpaceDE w:val="0"/>
        <w:autoSpaceDN w:val="0"/>
        <w:adjustRightInd w:val="0"/>
        <w:spacing w:line="480" w:lineRule="auto"/>
        <w:ind w:left="640" w:hanging="640"/>
        <w:rPr>
          <w:rFonts w:ascii="Calibri" w:hAnsi="Calibri" w:cs="Calibri"/>
          <w:noProof/>
          <w:sz w:val="24"/>
          <w:szCs w:val="24"/>
        </w:rPr>
      </w:pPr>
      <w:r w:rsidRPr="007A748E">
        <w:rPr>
          <w:rFonts w:ascii="Calibri" w:hAnsi="Calibri" w:cs="Calibri"/>
          <w:noProof/>
          <w:sz w:val="24"/>
          <w:szCs w:val="24"/>
        </w:rPr>
        <w:t xml:space="preserve">3. </w:t>
      </w:r>
      <w:r w:rsidRPr="007A748E">
        <w:rPr>
          <w:rFonts w:ascii="Calibri" w:hAnsi="Calibri" w:cs="Calibri"/>
          <w:noProof/>
          <w:sz w:val="24"/>
          <w:szCs w:val="24"/>
        </w:rPr>
        <w:tab/>
        <w:t xml:space="preserve">Zoldos V, Papes D, Brown SC, Panaud O, Siljak-Yakovlev S. Genome size and base composition of seven </w:t>
      </w:r>
      <w:r w:rsidRPr="007A748E">
        <w:rPr>
          <w:rFonts w:ascii="Calibri" w:hAnsi="Calibri" w:cs="Calibri"/>
          <w:i/>
          <w:iCs/>
          <w:noProof/>
          <w:sz w:val="24"/>
          <w:szCs w:val="24"/>
        </w:rPr>
        <w:t>Quercus</w:t>
      </w:r>
      <w:r w:rsidRPr="007A748E">
        <w:rPr>
          <w:rFonts w:ascii="Calibri" w:hAnsi="Calibri" w:cs="Calibri"/>
          <w:noProof/>
          <w:sz w:val="24"/>
          <w:szCs w:val="24"/>
        </w:rPr>
        <w:t xml:space="preserve"> species: inter- and intra-population variation. Genome.  NRC Research Press Ottawa, Canada ; 1998;41: 162–168. doi:10.1139/g98-006</w:t>
      </w:r>
    </w:p>
    <w:p w14:paraId="1D59690A" w14:textId="77777777" w:rsidR="008A79E1" w:rsidRPr="007A748E" w:rsidRDefault="008A79E1" w:rsidP="007A748E">
      <w:pPr>
        <w:widowControl w:val="0"/>
        <w:autoSpaceDE w:val="0"/>
        <w:autoSpaceDN w:val="0"/>
        <w:adjustRightInd w:val="0"/>
        <w:spacing w:line="480" w:lineRule="auto"/>
        <w:ind w:left="640" w:hanging="640"/>
        <w:rPr>
          <w:rFonts w:ascii="Calibri" w:hAnsi="Calibri" w:cs="Calibri"/>
          <w:noProof/>
          <w:sz w:val="24"/>
          <w:szCs w:val="24"/>
        </w:rPr>
      </w:pPr>
      <w:r w:rsidRPr="007A748E">
        <w:rPr>
          <w:rFonts w:ascii="Calibri" w:hAnsi="Calibri" w:cs="Calibri"/>
          <w:noProof/>
          <w:sz w:val="24"/>
          <w:szCs w:val="24"/>
        </w:rPr>
        <w:t xml:space="preserve">4. </w:t>
      </w:r>
      <w:r w:rsidRPr="007A748E">
        <w:rPr>
          <w:rFonts w:ascii="Calibri" w:hAnsi="Calibri" w:cs="Calibri"/>
          <w:noProof/>
          <w:sz w:val="24"/>
          <w:szCs w:val="24"/>
        </w:rPr>
        <w:tab/>
        <w:t>Boisvert S, Laviolette F, Corbeil J. Ray: simultaneous assembly of reads from a mix of high-throughput sequencing technologies. J Comput Biol. Mary Ann Liebert, Inc.; 2010;17: 1519–33. doi:10.1089/cmb.2009.0238</w:t>
      </w:r>
    </w:p>
    <w:p w14:paraId="0A1F58A3" w14:textId="77777777" w:rsidR="008A79E1" w:rsidRPr="007A748E" w:rsidRDefault="008A79E1" w:rsidP="007A748E">
      <w:pPr>
        <w:widowControl w:val="0"/>
        <w:autoSpaceDE w:val="0"/>
        <w:autoSpaceDN w:val="0"/>
        <w:adjustRightInd w:val="0"/>
        <w:spacing w:line="480" w:lineRule="auto"/>
        <w:ind w:left="640" w:hanging="640"/>
        <w:rPr>
          <w:rFonts w:ascii="Calibri" w:hAnsi="Calibri" w:cs="Calibri"/>
          <w:noProof/>
          <w:sz w:val="24"/>
          <w:szCs w:val="24"/>
        </w:rPr>
      </w:pPr>
      <w:r w:rsidRPr="007A748E">
        <w:rPr>
          <w:rFonts w:ascii="Calibri" w:hAnsi="Calibri" w:cs="Calibri"/>
          <w:noProof/>
          <w:sz w:val="24"/>
          <w:szCs w:val="24"/>
        </w:rPr>
        <w:t xml:space="preserve">5. </w:t>
      </w:r>
      <w:r w:rsidRPr="007A748E">
        <w:rPr>
          <w:rFonts w:ascii="Calibri" w:hAnsi="Calibri" w:cs="Calibri"/>
          <w:noProof/>
          <w:sz w:val="24"/>
          <w:szCs w:val="24"/>
        </w:rPr>
        <w:tab/>
        <w:t>Langmead B, Salzberg SL. Fast gapped-read alignment with Bowtie 2. Nat Methods. Nature Publishing Group, a division of Macmillan Publishers Limited. All Rights Reserved.; 2012;9: 357–9. doi:10.1038/nmeth.1923</w:t>
      </w:r>
    </w:p>
    <w:p w14:paraId="6F981AF0" w14:textId="77777777" w:rsidR="008A79E1" w:rsidRPr="007A748E" w:rsidRDefault="008A79E1" w:rsidP="007A748E">
      <w:pPr>
        <w:widowControl w:val="0"/>
        <w:autoSpaceDE w:val="0"/>
        <w:autoSpaceDN w:val="0"/>
        <w:adjustRightInd w:val="0"/>
        <w:spacing w:line="480" w:lineRule="auto"/>
        <w:ind w:left="640" w:hanging="640"/>
        <w:rPr>
          <w:rFonts w:ascii="Calibri" w:hAnsi="Calibri" w:cs="Calibri"/>
          <w:noProof/>
          <w:sz w:val="24"/>
          <w:szCs w:val="24"/>
        </w:rPr>
      </w:pPr>
      <w:r w:rsidRPr="007A748E">
        <w:rPr>
          <w:rFonts w:ascii="Calibri" w:hAnsi="Calibri" w:cs="Calibri"/>
          <w:noProof/>
          <w:sz w:val="24"/>
          <w:szCs w:val="24"/>
        </w:rPr>
        <w:t xml:space="preserve">6. </w:t>
      </w:r>
      <w:r w:rsidRPr="007A748E">
        <w:rPr>
          <w:rFonts w:ascii="Calibri" w:hAnsi="Calibri" w:cs="Calibri"/>
          <w:noProof/>
          <w:sz w:val="24"/>
          <w:szCs w:val="24"/>
        </w:rPr>
        <w:tab/>
        <w:t>Sahlin K, Vezzi F, Nystedt B, Lundeberg J, Arvestad L. BESST--efficient scaffolding of large fragmented assemblies. BMC Bioinformatics. 2014;15: 281. doi:10.1186/1471-2105-15-281</w:t>
      </w:r>
    </w:p>
    <w:p w14:paraId="394E4C18" w14:textId="77777777" w:rsidR="00C82A3B" w:rsidRDefault="00C82A3B" w:rsidP="007A748E">
      <w:pPr>
        <w:spacing w:line="480" w:lineRule="auto"/>
        <w:jc w:val="both"/>
      </w:pPr>
      <w:r w:rsidRPr="007A748E">
        <w:rPr>
          <w:sz w:val="24"/>
          <w:szCs w:val="24"/>
        </w:rPr>
        <w:fldChar w:fldCharType="end"/>
      </w:r>
    </w:p>
    <w:p w14:paraId="0BCA0592" w14:textId="77777777" w:rsidR="005D06C6" w:rsidRPr="005D06C6" w:rsidRDefault="005D06C6" w:rsidP="00CE5532">
      <w:pPr>
        <w:jc w:val="both"/>
      </w:pPr>
    </w:p>
    <w:sectPr w:rsidR="005D06C6" w:rsidRPr="005D06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12C0"/>
    <w:rsid w:val="000712C0"/>
    <w:rsid w:val="000A7BC5"/>
    <w:rsid w:val="000C0D0C"/>
    <w:rsid w:val="001476D9"/>
    <w:rsid w:val="001E5ED1"/>
    <w:rsid w:val="00244E5D"/>
    <w:rsid w:val="00326E51"/>
    <w:rsid w:val="00447FF9"/>
    <w:rsid w:val="00466959"/>
    <w:rsid w:val="004726B2"/>
    <w:rsid w:val="00553BE0"/>
    <w:rsid w:val="005D06C6"/>
    <w:rsid w:val="005D6928"/>
    <w:rsid w:val="005E2264"/>
    <w:rsid w:val="006A4F20"/>
    <w:rsid w:val="006B61FB"/>
    <w:rsid w:val="006D1934"/>
    <w:rsid w:val="00750085"/>
    <w:rsid w:val="007A429F"/>
    <w:rsid w:val="007A748E"/>
    <w:rsid w:val="008571DD"/>
    <w:rsid w:val="008A79E1"/>
    <w:rsid w:val="00914E5E"/>
    <w:rsid w:val="00931153"/>
    <w:rsid w:val="00934CEA"/>
    <w:rsid w:val="009C699E"/>
    <w:rsid w:val="009F2E5A"/>
    <w:rsid w:val="00A17C93"/>
    <w:rsid w:val="00A2542D"/>
    <w:rsid w:val="00A25CEE"/>
    <w:rsid w:val="00A553BA"/>
    <w:rsid w:val="00A7130B"/>
    <w:rsid w:val="00A73AC2"/>
    <w:rsid w:val="00AB3638"/>
    <w:rsid w:val="00AF3603"/>
    <w:rsid w:val="00B50F3F"/>
    <w:rsid w:val="00B66E63"/>
    <w:rsid w:val="00BA73C4"/>
    <w:rsid w:val="00BD24B1"/>
    <w:rsid w:val="00C13C9A"/>
    <w:rsid w:val="00C179F4"/>
    <w:rsid w:val="00C824C7"/>
    <w:rsid w:val="00C82A3B"/>
    <w:rsid w:val="00CE5532"/>
    <w:rsid w:val="00D02DAD"/>
    <w:rsid w:val="00D06D6B"/>
    <w:rsid w:val="00E01400"/>
    <w:rsid w:val="00E37505"/>
    <w:rsid w:val="00E6393C"/>
    <w:rsid w:val="00EF440D"/>
    <w:rsid w:val="00FE14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E8EB46"/>
  <w15:docId w15:val="{A480DB36-3AD7-4B9B-8D47-88689604C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914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Tipodeletrapredefinidodopargrafo"/>
    <w:uiPriority w:val="22"/>
    <w:qFormat/>
    <w:rsid w:val="00C824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086278">
      <w:bodyDiv w:val="1"/>
      <w:marLeft w:val="0"/>
      <w:marRight w:val="0"/>
      <w:marTop w:val="0"/>
      <w:marBottom w:val="0"/>
      <w:divBdr>
        <w:top w:val="none" w:sz="0" w:space="0" w:color="auto"/>
        <w:left w:val="none" w:sz="0" w:space="0" w:color="auto"/>
        <w:bottom w:val="none" w:sz="0" w:space="0" w:color="auto"/>
        <w:right w:val="none" w:sz="0" w:space="0" w:color="auto"/>
      </w:divBdr>
    </w:div>
    <w:div w:id="186582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EA0EC-8229-42CD-A19E-BD68E56C0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2593</Words>
  <Characters>14781</Characters>
  <Application>Microsoft Office Word</Application>
  <DocSecurity>0</DocSecurity>
  <Lines>123</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Barbosa</dc:creator>
  <cp:keywords/>
  <dc:description/>
  <cp:lastModifiedBy>tcapote</cp:lastModifiedBy>
  <cp:revision>8</cp:revision>
  <dcterms:created xsi:type="dcterms:W3CDTF">2017-10-09T04:32:00Z</dcterms:created>
  <dcterms:modified xsi:type="dcterms:W3CDTF">2018-08-28T10:12:00Z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fa15eeb6-c051-3752-be57-16bbc75ddadf</vt:lpwstr>
  </property>
  <property fmtid="{D5CDD505-2E9C-101B-9397-08002B2CF9AE}" pid="4" name="Mendeley Citation Style_1">
    <vt:lpwstr>http://www.zotero.org/styles/plos-one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http://www.zotero.org/styles/plos-one</vt:lpwstr>
  </property>
  <property fmtid="{D5CDD505-2E9C-101B-9397-08002B2CF9AE}" pid="24" name="Mendeley Recent Style Name 9_1">
    <vt:lpwstr>PLOS ONE</vt:lpwstr>
  </property>
</Properties>
</file>