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B1" w:rsidRPr="00B5372A" w:rsidRDefault="008E3F92" w:rsidP="003727E3">
      <w:pPr>
        <w:autoSpaceDE w:val="0"/>
        <w:autoSpaceDN w:val="0"/>
        <w:adjustRightInd w:val="0"/>
        <w:spacing w:beforeLines="100" w:before="312" w:after="0" w:line="480" w:lineRule="auto"/>
        <w:jc w:val="left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</w:rPr>
        <w:t>Additional file 5</w:t>
      </w:r>
      <w:r w:rsidRPr="008E3F92"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</w:rPr>
        <w:t>:</w:t>
      </w:r>
      <w:r w:rsidR="003727E3"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</w:rPr>
        <w:t xml:space="preserve"> </w:t>
      </w:r>
      <w:bookmarkStart w:id="0" w:name="_GoBack"/>
      <w:bookmarkEnd w:id="0"/>
      <w:r w:rsidR="00D65D6C">
        <w:rPr>
          <w:rFonts w:ascii="Times New Roman" w:hAnsi="Times New Roman" w:cs="Times New Roman"/>
          <w:b/>
          <w:bCs/>
          <w:iCs/>
        </w:rPr>
        <w:t>Table S3</w:t>
      </w:r>
      <w:r w:rsidR="00F259B1" w:rsidRPr="00F259B1">
        <w:rPr>
          <w:rFonts w:ascii="Times New Roman" w:hAnsi="Times New Roman" w:cs="Times New Roman"/>
          <w:b/>
          <w:bCs/>
          <w:iCs/>
        </w:rPr>
        <w:t xml:space="preserve">. </w:t>
      </w:r>
      <w:r w:rsidR="00F259B1" w:rsidRPr="00F259B1">
        <w:rPr>
          <w:rFonts w:ascii="Times New Roman" w:hAnsi="Times New Roman" w:cs="Times New Roman"/>
          <w:b/>
        </w:rPr>
        <w:t xml:space="preserve">Motif elements related to hormone signals of miR160s precursors’ genes and their targeted </w:t>
      </w:r>
      <w:r w:rsidR="00F259B1" w:rsidRPr="00F259B1">
        <w:rPr>
          <w:rFonts w:ascii="Times New Roman" w:hAnsi="Times New Roman" w:cs="Times New Roman"/>
          <w:b/>
          <w:i/>
          <w:iCs/>
        </w:rPr>
        <w:t xml:space="preserve">ARFs </w:t>
      </w:r>
      <w:r w:rsidR="00F259B1" w:rsidRPr="00F259B1">
        <w:rPr>
          <w:rFonts w:ascii="Times New Roman" w:hAnsi="Times New Roman" w:cs="Times New Roman"/>
          <w:b/>
        </w:rPr>
        <w:t>pairs in grapevine.</w:t>
      </w:r>
    </w:p>
    <w:tbl>
      <w:tblPr>
        <w:tblW w:w="817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91"/>
        <w:gridCol w:w="791"/>
        <w:gridCol w:w="1268"/>
        <w:gridCol w:w="4532"/>
      </w:tblGrid>
      <w:tr w:rsidR="009062FF" w:rsidTr="00F31228">
        <w:trPr>
          <w:trHeight w:val="300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062FF" w:rsidRDefault="00CD60D8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Name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062FF" w:rsidRDefault="00CD60D8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Sum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062FF" w:rsidRDefault="00CD60D8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Number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</w:t>
            </w:r>
            <w:r w:rsidR="00CD60D8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lements</w:t>
            </w:r>
          </w:p>
        </w:tc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F</w:t>
            </w:r>
            <w:r w:rsidR="00CD60D8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unctions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62FF" w:rsidRDefault="00F31228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Vvmi</w:t>
            </w:r>
            <w:r w:rsidR="009062FF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R160a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ABRE</w:t>
            </w:r>
          </w:p>
        </w:tc>
        <w:tc>
          <w:tcPr>
            <w:tcW w:w="4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the abscisic acid responsiveness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AuxRE</w:t>
            </w:r>
            <w:proofErr w:type="spellEnd"/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an auxin-responsive element</w:t>
            </w:r>
          </w:p>
        </w:tc>
      </w:tr>
      <w:tr w:rsidR="009062FF" w:rsidTr="00F31228">
        <w:trPr>
          <w:trHeight w:val="30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ERE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ethylene-responsive element</w:t>
            </w:r>
          </w:p>
        </w:tc>
      </w:tr>
      <w:tr w:rsidR="009062FF" w:rsidTr="00F31228">
        <w:trPr>
          <w:trHeight w:val="30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GARE-motif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9062FF" w:rsidTr="00F31228">
        <w:trPr>
          <w:trHeight w:val="33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 P-box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9062FF" w:rsidTr="00F31228">
        <w:trPr>
          <w:trHeight w:val="33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9062FF" w:rsidTr="00F31228">
        <w:trPr>
          <w:trHeight w:val="300"/>
          <w:jc w:val="center"/>
        </w:trPr>
        <w:tc>
          <w:tcPr>
            <w:tcW w:w="993" w:type="dxa"/>
            <w:shd w:val="clear" w:color="auto" w:fill="auto"/>
            <w:vAlign w:val="bottom"/>
          </w:tcPr>
          <w:p w:rsidR="009062FF" w:rsidRDefault="00F31228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Vvmi</w:t>
            </w:r>
            <w:r w:rsidR="009062FF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R160b</w:t>
            </w:r>
          </w:p>
        </w:tc>
        <w:tc>
          <w:tcPr>
            <w:tcW w:w="591" w:type="dxa"/>
            <w:shd w:val="clear" w:color="auto" w:fill="auto"/>
            <w:vAlign w:val="bottom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268" w:type="dxa"/>
            <w:shd w:val="clear" w:color="auto" w:fill="auto"/>
            <w:vAlign w:val="bottom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532" w:type="dxa"/>
            <w:shd w:val="clear" w:color="auto" w:fill="auto"/>
            <w:vAlign w:val="bottom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9062FF" w:rsidTr="00F31228">
        <w:trPr>
          <w:trHeight w:val="285"/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062FF" w:rsidRDefault="00F31228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Vvmi</w:t>
            </w:r>
            <w:r w:rsidR="009062FF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R160c</w:t>
            </w:r>
          </w:p>
        </w:tc>
        <w:tc>
          <w:tcPr>
            <w:tcW w:w="591" w:type="dxa"/>
            <w:vMerge w:val="restart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ABRE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the abscisic acid responsiveness</w:t>
            </w:r>
          </w:p>
        </w:tc>
      </w:tr>
      <w:tr w:rsidR="009062FF" w:rsidTr="00F31228">
        <w:trPr>
          <w:trHeight w:val="28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ERE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ethylene-responsive element</w:t>
            </w:r>
          </w:p>
        </w:tc>
      </w:tr>
      <w:tr w:rsidR="009062FF" w:rsidTr="00F31228">
        <w:trPr>
          <w:trHeight w:val="28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P-box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9062FF" w:rsidTr="00F31228">
        <w:trPr>
          <w:trHeight w:val="28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 TCA-element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9062FF" w:rsidTr="00F31228">
        <w:trPr>
          <w:trHeight w:val="285"/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062FF" w:rsidRDefault="00F31228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Vvmi</w:t>
            </w:r>
            <w:r w:rsidR="009062FF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R160d</w:t>
            </w:r>
          </w:p>
        </w:tc>
        <w:tc>
          <w:tcPr>
            <w:tcW w:w="591" w:type="dxa"/>
            <w:vMerge w:val="restart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 CGTCA-motif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9062FF" w:rsidTr="00F31228">
        <w:trPr>
          <w:trHeight w:val="30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ERE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ethylene-responsive element</w:t>
            </w:r>
          </w:p>
        </w:tc>
      </w:tr>
      <w:tr w:rsidR="009062FF" w:rsidTr="00F31228">
        <w:trPr>
          <w:trHeight w:val="30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GARE-motif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9062FF" w:rsidTr="00F31228">
        <w:trPr>
          <w:trHeight w:val="30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9062FF" w:rsidTr="00F31228">
        <w:trPr>
          <w:trHeight w:val="30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 TGACG-motif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9062FF" w:rsidTr="00F31228">
        <w:trPr>
          <w:trHeight w:val="285"/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062FF" w:rsidRDefault="00F31228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Vvmi</w:t>
            </w:r>
            <w:r w:rsidR="009062FF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R160e</w:t>
            </w:r>
          </w:p>
        </w:tc>
        <w:tc>
          <w:tcPr>
            <w:tcW w:w="591" w:type="dxa"/>
            <w:vMerge w:val="restart"/>
            <w:shd w:val="clear" w:color="auto" w:fill="auto"/>
            <w:vAlign w:val="center"/>
          </w:tcPr>
          <w:p w:rsidR="009062FF" w:rsidRDefault="0018300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CGTCA-motif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9062FF" w:rsidTr="00F31228">
        <w:trPr>
          <w:trHeight w:val="30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 ERE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ethylene-responsive element</w:t>
            </w:r>
          </w:p>
        </w:tc>
      </w:tr>
      <w:tr w:rsidR="009062FF" w:rsidTr="00F31228">
        <w:trPr>
          <w:trHeight w:val="30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TATC-box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gibberellin-responsiveness</w:t>
            </w:r>
          </w:p>
        </w:tc>
      </w:tr>
      <w:tr w:rsidR="009062FF" w:rsidTr="00F31228">
        <w:trPr>
          <w:trHeight w:val="30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9062FF" w:rsidTr="00F31228">
        <w:trPr>
          <w:trHeight w:val="300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 TGACG-motif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062FF" w:rsidRPr="009062FF" w:rsidRDefault="00F31228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kern w:val="0"/>
                <w:sz w:val="15"/>
                <w:szCs w:val="15"/>
              </w:rPr>
              <w:t>Vv</w:t>
            </w:r>
            <w:r w:rsidR="009062FF" w:rsidRPr="009062FF">
              <w:rPr>
                <w:rFonts w:ascii="Times New Roman" w:hAnsi="Times New Roman" w:cs="Times New Roman"/>
                <w:i/>
                <w:color w:val="000000"/>
                <w:kern w:val="0"/>
                <w:sz w:val="15"/>
                <w:szCs w:val="15"/>
              </w:rPr>
              <w:t>ARF16</w:t>
            </w:r>
          </w:p>
        </w:tc>
        <w:tc>
          <w:tcPr>
            <w:tcW w:w="591" w:type="dxa"/>
            <w:vMerge w:val="restart"/>
            <w:shd w:val="clear" w:color="auto" w:fill="auto"/>
            <w:vAlign w:val="center"/>
          </w:tcPr>
          <w:p w:rsidR="009062FF" w:rsidRDefault="0018300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AuxRR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-core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cis-acting regulatory element involved in auxin responsiveness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CGTCA-motif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MeJA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-responsiveness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 ERE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ethylene-responsive element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 P-box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 TGACG-motif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MeJA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-responsiveness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062FF" w:rsidRPr="009062FF" w:rsidRDefault="00F31228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kern w:val="0"/>
                <w:sz w:val="15"/>
                <w:szCs w:val="15"/>
              </w:rPr>
              <w:t>Vv</w:t>
            </w:r>
            <w:r w:rsidR="009062FF" w:rsidRPr="009062FF">
              <w:rPr>
                <w:rFonts w:ascii="Times New Roman" w:hAnsi="Times New Roman" w:cs="Times New Roman"/>
                <w:i/>
                <w:color w:val="000000"/>
                <w:kern w:val="0"/>
                <w:sz w:val="15"/>
                <w:szCs w:val="15"/>
              </w:rPr>
              <w:t>ARF10</w:t>
            </w:r>
          </w:p>
        </w:tc>
        <w:tc>
          <w:tcPr>
            <w:tcW w:w="591" w:type="dxa"/>
            <w:vMerge w:val="restart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ABRE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the abscisic acid responsiveness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 ERE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ethylene-responsive element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 P-box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062FF" w:rsidRPr="009062FF" w:rsidRDefault="00F31228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000000"/>
                <w:kern w:val="0"/>
                <w:sz w:val="15"/>
                <w:szCs w:val="15"/>
              </w:rPr>
              <w:t>Vv</w:t>
            </w:r>
            <w:r w:rsidR="009062FF" w:rsidRPr="009062FF">
              <w:rPr>
                <w:rFonts w:ascii="Times New Roman" w:hAnsi="Times New Roman" w:cs="Times New Roman"/>
                <w:i/>
                <w:color w:val="000000"/>
                <w:kern w:val="0"/>
                <w:sz w:val="15"/>
                <w:szCs w:val="15"/>
              </w:rPr>
              <w:t>ARF17</w:t>
            </w:r>
          </w:p>
        </w:tc>
        <w:tc>
          <w:tcPr>
            <w:tcW w:w="591" w:type="dxa"/>
            <w:vMerge w:val="restart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CGTCA-motif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GARE-motif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9062FF" w:rsidTr="00F31228">
        <w:trPr>
          <w:trHeight w:val="315"/>
          <w:jc w:val="center"/>
        </w:trPr>
        <w:tc>
          <w:tcPr>
            <w:tcW w:w="993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Merge/>
            <w:vAlign w:val="center"/>
          </w:tcPr>
          <w:p w:rsidR="009062FF" w:rsidRDefault="009062FF" w:rsidP="00F73166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TGACG-motif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9062FF" w:rsidRDefault="009062FF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</w:tbl>
    <w:p w:rsidR="005A7C6D" w:rsidRDefault="00B5372A" w:rsidP="00F73166">
      <w:pPr>
        <w:spacing w:after="0" w:line="240" w:lineRule="auto"/>
        <w:rPr>
          <w:rFonts w:ascii="Times New Roman" w:hAnsi="Times New Roman" w:cs="Times New Roman"/>
          <w:kern w:val="0"/>
          <w:lang w:val="en-GB"/>
        </w:rPr>
      </w:pPr>
      <w:r>
        <w:rPr>
          <w:rFonts w:ascii="Times New Roman" w:hAnsi="Times New Roman" w:cs="Times New Roman"/>
          <w:kern w:val="0"/>
          <w:lang w:val="en-GB"/>
        </w:rPr>
        <w:t xml:space="preserve">Note: </w:t>
      </w:r>
      <w:r w:rsidRPr="00F259B1">
        <w:rPr>
          <w:rFonts w:ascii="Times New Roman" w:hAnsi="Times New Roman" w:cs="Times New Roman"/>
          <w:kern w:val="0"/>
          <w:lang w:val="en-GB"/>
        </w:rPr>
        <w:t xml:space="preserve">The </w:t>
      </w:r>
      <w:proofErr w:type="spellStart"/>
      <w:r w:rsidRPr="00F259B1">
        <w:rPr>
          <w:rFonts w:ascii="Times New Roman" w:hAnsi="Times New Roman" w:cs="Times New Roman"/>
          <w:kern w:val="0"/>
          <w:lang w:val="en-GB"/>
        </w:rPr>
        <w:t>Plantcare</w:t>
      </w:r>
      <w:proofErr w:type="spellEnd"/>
      <w:r w:rsidRPr="00F259B1">
        <w:rPr>
          <w:rFonts w:ascii="Times New Roman" w:hAnsi="Times New Roman" w:cs="Times New Roman"/>
          <w:kern w:val="0"/>
          <w:lang w:val="en-GB"/>
        </w:rPr>
        <w:t xml:space="preserve"> software</w:t>
      </w:r>
      <w:r w:rsidRPr="00F259B1">
        <w:rPr>
          <w:rFonts w:ascii="Times New Roman" w:hAnsi="Times New Roman" w:cs="Times New Roman"/>
        </w:rPr>
        <w:t xml:space="preserve"> (</w:t>
      </w:r>
      <w:r w:rsidRPr="00F259B1">
        <w:rPr>
          <w:rFonts w:ascii="Times New Roman" w:hAnsi="Times New Roman" w:cs="Times New Roman"/>
          <w:kern w:val="0"/>
          <w:lang w:val="en-GB"/>
        </w:rPr>
        <w:t xml:space="preserve">http://bioinformatics.psb.ugent.be/webtools/plantcare/html/) </w:t>
      </w:r>
      <w:r>
        <w:rPr>
          <w:rFonts w:ascii="Times New Roman" w:hAnsi="Times New Roman" w:cs="Times New Roman"/>
          <w:kern w:val="0"/>
          <w:lang w:val="en-GB"/>
        </w:rPr>
        <w:t xml:space="preserve">was used </w:t>
      </w:r>
      <w:r w:rsidRPr="00F259B1">
        <w:rPr>
          <w:rFonts w:ascii="Times New Roman" w:hAnsi="Times New Roman" w:cs="Times New Roman"/>
          <w:kern w:val="0"/>
          <w:lang w:val="en-GB"/>
        </w:rPr>
        <w:t>to predict the motif elements of these genes’ promoter.</w:t>
      </w:r>
    </w:p>
    <w:sectPr w:rsidR="005A7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5C" w:rsidRDefault="002D5E5C" w:rsidP="00643D36">
      <w:pPr>
        <w:spacing w:after="0" w:line="240" w:lineRule="auto"/>
      </w:pPr>
      <w:r>
        <w:separator/>
      </w:r>
    </w:p>
  </w:endnote>
  <w:endnote w:type="continuationSeparator" w:id="0">
    <w:p w:rsidR="002D5E5C" w:rsidRDefault="002D5E5C" w:rsidP="0064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5C" w:rsidRDefault="002D5E5C" w:rsidP="00643D36">
      <w:pPr>
        <w:spacing w:after="0" w:line="240" w:lineRule="auto"/>
      </w:pPr>
      <w:r>
        <w:separator/>
      </w:r>
    </w:p>
  </w:footnote>
  <w:footnote w:type="continuationSeparator" w:id="0">
    <w:p w:rsidR="002D5E5C" w:rsidRDefault="002D5E5C" w:rsidP="00643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1MDcwN7EwMjQ0MTdV0lEKTi0uzszPAykwrAUAQR9baSwAAAA="/>
  </w:docVars>
  <w:rsids>
    <w:rsidRoot w:val="00E128B4"/>
    <w:rsid w:val="00070149"/>
    <w:rsid w:val="000927F7"/>
    <w:rsid w:val="000A5B4E"/>
    <w:rsid w:val="000C2F81"/>
    <w:rsid w:val="0015089B"/>
    <w:rsid w:val="0018300F"/>
    <w:rsid w:val="00191353"/>
    <w:rsid w:val="00194CC9"/>
    <w:rsid w:val="001C32FA"/>
    <w:rsid w:val="001D2449"/>
    <w:rsid w:val="001D3E00"/>
    <w:rsid w:val="00275E9F"/>
    <w:rsid w:val="002933D7"/>
    <w:rsid w:val="002D5E5C"/>
    <w:rsid w:val="003727E3"/>
    <w:rsid w:val="003C1EC8"/>
    <w:rsid w:val="004301C9"/>
    <w:rsid w:val="004378BA"/>
    <w:rsid w:val="004E22D8"/>
    <w:rsid w:val="005A7C6D"/>
    <w:rsid w:val="005C1071"/>
    <w:rsid w:val="00622662"/>
    <w:rsid w:val="00630523"/>
    <w:rsid w:val="00643D36"/>
    <w:rsid w:val="00676879"/>
    <w:rsid w:val="00690EEE"/>
    <w:rsid w:val="006A0916"/>
    <w:rsid w:val="006F53AE"/>
    <w:rsid w:val="007945BE"/>
    <w:rsid w:val="007A54BC"/>
    <w:rsid w:val="007C0BD0"/>
    <w:rsid w:val="008313E2"/>
    <w:rsid w:val="00872343"/>
    <w:rsid w:val="008E3F92"/>
    <w:rsid w:val="009062FF"/>
    <w:rsid w:val="00983894"/>
    <w:rsid w:val="00993F2E"/>
    <w:rsid w:val="00A57A57"/>
    <w:rsid w:val="00B120E7"/>
    <w:rsid w:val="00B5372A"/>
    <w:rsid w:val="00B6437A"/>
    <w:rsid w:val="00C327D7"/>
    <w:rsid w:val="00C66F07"/>
    <w:rsid w:val="00CA24F2"/>
    <w:rsid w:val="00CB73EA"/>
    <w:rsid w:val="00CD60D8"/>
    <w:rsid w:val="00CE0D6C"/>
    <w:rsid w:val="00D54F90"/>
    <w:rsid w:val="00D65D6C"/>
    <w:rsid w:val="00DE2E32"/>
    <w:rsid w:val="00DF01D6"/>
    <w:rsid w:val="00E128B4"/>
    <w:rsid w:val="00EC75BA"/>
    <w:rsid w:val="00EF07F9"/>
    <w:rsid w:val="00F259B1"/>
    <w:rsid w:val="00F31228"/>
    <w:rsid w:val="00F5742C"/>
    <w:rsid w:val="00F603C9"/>
    <w:rsid w:val="00F73166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D36"/>
    <w:pPr>
      <w:widowControl w:val="0"/>
      <w:spacing w:after="200" w:line="276" w:lineRule="auto"/>
      <w:jc w:val="both"/>
    </w:pPr>
    <w:rPr>
      <w:rFonts w:ascii="Calibri" w:eastAsia="SimSun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3D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3D3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3D36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qFormat/>
    <w:rsid w:val="00872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Theme="minorEastAsia" w:hAnsi="Courier New" w:cs="Times New Roman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2343"/>
    <w:rPr>
      <w:rFonts w:ascii="Courier New" w:hAnsi="Courier New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D36"/>
    <w:pPr>
      <w:widowControl w:val="0"/>
      <w:spacing w:after="200" w:line="276" w:lineRule="auto"/>
      <w:jc w:val="both"/>
    </w:pPr>
    <w:rPr>
      <w:rFonts w:ascii="Calibri" w:eastAsia="SimSun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3D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3D3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3D36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qFormat/>
    <w:rsid w:val="00872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Theme="minorEastAsia" w:hAnsi="Courier New" w:cs="Times New Roman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2343"/>
    <w:rPr>
      <w:rFonts w:ascii="Courier New" w:hAnsi="Courier New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zwy</dc:creator>
  <cp:keywords/>
  <dc:description/>
  <cp:lastModifiedBy>LAMIRA</cp:lastModifiedBy>
  <cp:revision>14</cp:revision>
  <dcterms:created xsi:type="dcterms:W3CDTF">2018-09-18T07:29:00Z</dcterms:created>
  <dcterms:modified xsi:type="dcterms:W3CDTF">2019-03-18T10:09:00Z</dcterms:modified>
</cp:coreProperties>
</file>