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08E38" w14:textId="607A4121" w:rsidR="00D061F6" w:rsidRPr="00564EF0" w:rsidRDefault="00D061F6" w:rsidP="00D061F6">
      <w:pPr>
        <w:pStyle w:val="Title"/>
        <w:spacing w:line="600" w:lineRule="auto"/>
        <w:jc w:val="both"/>
        <w:rPr>
          <w:rFonts w:ascii="Arial" w:hAnsi="Arial" w:cs="Arial"/>
          <w:b/>
          <w:sz w:val="28"/>
          <w:szCs w:val="28"/>
        </w:rPr>
      </w:pPr>
      <w:r w:rsidRPr="00564EF0">
        <w:rPr>
          <w:rFonts w:ascii="Arial" w:hAnsi="Arial" w:cs="Arial"/>
          <w:b/>
          <w:sz w:val="28"/>
          <w:szCs w:val="28"/>
        </w:rPr>
        <w:t xml:space="preserve">Genome-wide </w:t>
      </w:r>
      <w:r w:rsidRPr="00564EF0">
        <w:rPr>
          <w:rFonts w:ascii="Arial" w:hAnsi="Arial" w:cs="Arial"/>
          <w:b/>
          <w:noProof/>
          <w:sz w:val="28"/>
          <w:szCs w:val="28"/>
        </w:rPr>
        <w:t xml:space="preserve">association mapping </w:t>
      </w:r>
      <w:r w:rsidRPr="00564EF0">
        <w:rPr>
          <w:rFonts w:ascii="Arial" w:hAnsi="Arial" w:cs="Arial"/>
          <w:b/>
          <w:sz w:val="28"/>
          <w:szCs w:val="28"/>
        </w:rPr>
        <w:t xml:space="preserve">in a diverse spring barley collection </w:t>
      </w:r>
      <w:r w:rsidRPr="00564EF0">
        <w:rPr>
          <w:rFonts w:ascii="Arial" w:hAnsi="Arial" w:cs="Arial"/>
          <w:b/>
          <w:noProof/>
          <w:sz w:val="28"/>
          <w:szCs w:val="28"/>
        </w:rPr>
        <w:t>reveals</w:t>
      </w:r>
      <w:r w:rsidRPr="00564EF0">
        <w:rPr>
          <w:rFonts w:ascii="Arial" w:hAnsi="Arial" w:cs="Arial"/>
          <w:b/>
          <w:sz w:val="28"/>
          <w:szCs w:val="28"/>
        </w:rPr>
        <w:t xml:space="preserve"> the presence of QTL hotspots</w:t>
      </w:r>
      <w:r w:rsidR="003C171D">
        <w:rPr>
          <w:rFonts w:ascii="Arial" w:hAnsi="Arial" w:cs="Arial"/>
          <w:b/>
          <w:sz w:val="28"/>
          <w:szCs w:val="28"/>
        </w:rPr>
        <w:t xml:space="preserve"> and candidate genes</w:t>
      </w:r>
      <w:r w:rsidRPr="00564EF0">
        <w:rPr>
          <w:rFonts w:ascii="Arial" w:hAnsi="Arial" w:cs="Arial"/>
          <w:b/>
          <w:sz w:val="28"/>
          <w:szCs w:val="28"/>
        </w:rPr>
        <w:t xml:space="preserve"> for root </w:t>
      </w:r>
      <w:r w:rsidR="000738CC" w:rsidRPr="00564EF0">
        <w:rPr>
          <w:rFonts w:ascii="Arial" w:hAnsi="Arial" w:cs="Arial"/>
          <w:b/>
          <w:sz w:val="28"/>
          <w:szCs w:val="28"/>
        </w:rPr>
        <w:t xml:space="preserve">and shoot </w:t>
      </w:r>
      <w:r w:rsidRPr="00564EF0">
        <w:rPr>
          <w:rFonts w:ascii="Arial" w:hAnsi="Arial" w:cs="Arial"/>
          <w:b/>
          <w:sz w:val="28"/>
          <w:szCs w:val="28"/>
        </w:rPr>
        <w:t xml:space="preserve">architecture traits </w:t>
      </w:r>
      <w:r w:rsidR="000738CC" w:rsidRPr="00564EF0">
        <w:rPr>
          <w:rFonts w:ascii="Arial" w:hAnsi="Arial" w:cs="Arial"/>
          <w:b/>
          <w:sz w:val="28"/>
          <w:szCs w:val="28"/>
        </w:rPr>
        <w:t>at seedling stage</w:t>
      </w:r>
    </w:p>
    <w:p w14:paraId="3FCCF620" w14:textId="337CCABD" w:rsidR="00D061F6" w:rsidRPr="00564EF0" w:rsidRDefault="00D061F6" w:rsidP="00D061F6">
      <w:pPr>
        <w:spacing w:after="0" w:line="60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Adel H. Abdel-Ghani, Rajiv Sharma, Celestine Wabila, </w:t>
      </w:r>
      <w:r w:rsidR="00556A7F" w:rsidRPr="00564EF0">
        <w:rPr>
          <w:rFonts w:ascii="Arial" w:eastAsia="SimSun" w:hAnsi="Arial" w:cs="Arial"/>
          <w:sz w:val="24"/>
          <w:szCs w:val="24"/>
          <w:lang w:eastAsia="zh-CN"/>
        </w:rPr>
        <w:t xml:space="preserve">Sidram Dhanagond, </w:t>
      </w:r>
      <w:proofErr w:type="spellStart"/>
      <w:r w:rsidRPr="00564EF0">
        <w:rPr>
          <w:rFonts w:ascii="Arial" w:eastAsia="SimSun" w:hAnsi="Arial" w:cs="Arial"/>
          <w:sz w:val="24"/>
          <w:szCs w:val="24"/>
          <w:lang w:eastAsia="zh-CN"/>
        </w:rPr>
        <w:t>Saed</w:t>
      </w:r>
      <w:proofErr w:type="spellEnd"/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 J. </w:t>
      </w:r>
      <w:proofErr w:type="spellStart"/>
      <w:r w:rsidRPr="00564EF0">
        <w:rPr>
          <w:rFonts w:ascii="Arial" w:eastAsia="SimSun" w:hAnsi="Arial" w:cs="Arial"/>
          <w:sz w:val="24"/>
          <w:szCs w:val="24"/>
          <w:lang w:eastAsia="zh-CN"/>
        </w:rPr>
        <w:t>Owais</w:t>
      </w:r>
      <w:proofErr w:type="spellEnd"/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, </w:t>
      </w:r>
      <w:r w:rsidRPr="00564EF0">
        <w:rPr>
          <w:rFonts w:ascii="Arial" w:hAnsi="Arial" w:cs="Arial"/>
          <w:sz w:val="24"/>
          <w:szCs w:val="24"/>
        </w:rPr>
        <w:t xml:space="preserve">Mahmud </w:t>
      </w:r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A </w:t>
      </w:r>
      <w:proofErr w:type="spellStart"/>
      <w:r w:rsidRPr="00564EF0">
        <w:rPr>
          <w:rFonts w:ascii="Arial" w:eastAsia="SimSun" w:hAnsi="Arial" w:cs="Arial"/>
          <w:sz w:val="24"/>
          <w:szCs w:val="24"/>
          <w:lang w:eastAsia="zh-CN"/>
        </w:rPr>
        <w:t>Duwayri</w:t>
      </w:r>
      <w:proofErr w:type="spellEnd"/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, </w:t>
      </w:r>
      <w:hyperlink r:id="rId5" w:history="1">
        <w:r w:rsidRPr="00564EF0">
          <w:rPr>
            <w:rFonts w:ascii="Arial" w:eastAsia="SimSun" w:hAnsi="Arial" w:cs="Arial"/>
            <w:sz w:val="24"/>
            <w:szCs w:val="24"/>
            <w:lang w:eastAsia="zh-CN"/>
          </w:rPr>
          <w:t>Saddam A. Al-</w:t>
        </w:r>
        <w:proofErr w:type="spellStart"/>
        <w:r w:rsidRPr="00564EF0">
          <w:rPr>
            <w:rFonts w:ascii="Arial" w:eastAsia="SimSun" w:hAnsi="Arial" w:cs="Arial"/>
            <w:sz w:val="24"/>
            <w:szCs w:val="24"/>
            <w:lang w:eastAsia="zh-CN"/>
          </w:rPr>
          <w:t>Dalain</w:t>
        </w:r>
        <w:proofErr w:type="spellEnd"/>
      </w:hyperlink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, Christian Klukas, Dijun Chen, Thomas </w:t>
      </w:r>
      <w:proofErr w:type="spellStart"/>
      <w:r w:rsidRPr="00564EF0">
        <w:rPr>
          <w:rFonts w:ascii="Arial" w:eastAsia="SimSun" w:hAnsi="Arial" w:cs="Arial"/>
          <w:sz w:val="24"/>
          <w:szCs w:val="24"/>
          <w:lang w:eastAsia="zh-CN"/>
        </w:rPr>
        <w:t>Lübberstedt</w:t>
      </w:r>
      <w:proofErr w:type="spellEnd"/>
      <w:r w:rsidRPr="00564EF0">
        <w:rPr>
          <w:rFonts w:ascii="Arial" w:eastAsia="SimSun" w:hAnsi="Arial" w:cs="Arial"/>
          <w:sz w:val="24"/>
          <w:szCs w:val="24"/>
          <w:lang w:eastAsia="zh-CN"/>
        </w:rPr>
        <w:t xml:space="preserve">, Nicolaus von </w:t>
      </w:r>
      <w:proofErr w:type="spellStart"/>
      <w:r w:rsidRPr="00564EF0">
        <w:rPr>
          <w:rFonts w:ascii="Arial" w:eastAsia="SimSun" w:hAnsi="Arial" w:cs="Arial"/>
          <w:sz w:val="24"/>
          <w:szCs w:val="24"/>
          <w:lang w:eastAsia="zh-CN"/>
        </w:rPr>
        <w:t>Wirén</w:t>
      </w:r>
      <w:proofErr w:type="spellEnd"/>
      <w:r w:rsidRPr="00564EF0">
        <w:rPr>
          <w:rFonts w:ascii="Arial" w:eastAsia="SimSun" w:hAnsi="Arial" w:cs="Arial"/>
          <w:sz w:val="24"/>
          <w:szCs w:val="24"/>
          <w:lang w:eastAsia="zh-CN"/>
        </w:rPr>
        <w:t>, Andreas Graner, Benjamin Kilian, Kerstin Neumann</w:t>
      </w:r>
    </w:p>
    <w:p w14:paraId="09C270B1" w14:textId="77777777" w:rsidR="004C0981" w:rsidRPr="00564EF0" w:rsidRDefault="004C0981" w:rsidP="004C0981">
      <w:pPr>
        <w:pStyle w:val="TOCHeading"/>
        <w:rPr>
          <w:rFonts w:ascii="Arial" w:hAnsi="Arial" w:cs="Arial"/>
          <w:color w:val="auto"/>
        </w:rPr>
      </w:pPr>
      <w:r w:rsidRPr="00564EF0">
        <w:rPr>
          <w:rFonts w:ascii="Arial" w:hAnsi="Arial" w:cs="Arial"/>
          <w:color w:val="auto"/>
        </w:rPr>
        <w:t>Supplementary Data</w:t>
      </w:r>
    </w:p>
    <w:p w14:paraId="300A8CE7" w14:textId="1FCC44D9" w:rsidR="00F9322E" w:rsidRPr="00564EF0" w:rsidRDefault="00F9322E" w:rsidP="00F9322E">
      <w:pPr>
        <w:rPr>
          <w:rFonts w:ascii="Arial" w:hAnsi="Arial" w:cs="Arial"/>
          <w:sz w:val="24"/>
          <w:szCs w:val="24"/>
          <w:lang w:val="en-US" w:eastAsia="ja-JP"/>
        </w:rPr>
      </w:pPr>
      <w:r w:rsidRPr="00564EF0">
        <w:rPr>
          <w:rFonts w:ascii="Arial" w:hAnsi="Arial" w:cs="Arial"/>
          <w:sz w:val="24"/>
          <w:szCs w:val="24"/>
          <w:lang w:val="en-US" w:eastAsia="ja-JP"/>
        </w:rPr>
        <w:t>Supplementary note on population structure in the GWAS panel</w:t>
      </w:r>
    </w:p>
    <w:p w14:paraId="2004BE31" w14:textId="77777777" w:rsidR="004C0981" w:rsidRPr="00564EF0" w:rsidRDefault="004C0981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t>Fig. S1</w:t>
      </w:r>
    </w:p>
    <w:p w14:paraId="4F25568E" w14:textId="54E1A472" w:rsidR="009352D8" w:rsidRPr="00564EF0" w:rsidRDefault="009352D8" w:rsidP="009352D8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t>Fig. S2</w:t>
      </w:r>
    </w:p>
    <w:p w14:paraId="15321AC6" w14:textId="4D8A78C7" w:rsidR="00226C73" w:rsidRPr="00564EF0" w:rsidRDefault="00226C73" w:rsidP="00226C73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t>Fig. S3</w:t>
      </w:r>
    </w:p>
    <w:p w14:paraId="1A756814" w14:textId="5242258C" w:rsidR="004D6A9D" w:rsidRPr="00564EF0" w:rsidRDefault="004D6A9D" w:rsidP="004D6A9D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t>Fig. S4</w:t>
      </w:r>
    </w:p>
    <w:p w14:paraId="742B2F5D" w14:textId="77777777" w:rsidR="004D6A9D" w:rsidRPr="00564EF0" w:rsidRDefault="004D6A9D" w:rsidP="00226C73">
      <w:pPr>
        <w:rPr>
          <w:rFonts w:ascii="Arial" w:hAnsi="Arial" w:cs="Arial"/>
          <w:sz w:val="24"/>
          <w:szCs w:val="24"/>
        </w:rPr>
      </w:pPr>
    </w:p>
    <w:p w14:paraId="27CD974D" w14:textId="77777777" w:rsidR="00226C73" w:rsidRPr="00564EF0" w:rsidRDefault="00226C73" w:rsidP="009352D8">
      <w:pPr>
        <w:rPr>
          <w:rFonts w:ascii="Arial" w:hAnsi="Arial" w:cs="Arial"/>
          <w:sz w:val="24"/>
          <w:szCs w:val="24"/>
        </w:rPr>
      </w:pPr>
    </w:p>
    <w:p w14:paraId="00770637" w14:textId="77777777" w:rsidR="009352D8" w:rsidRPr="00564EF0" w:rsidRDefault="009352D8" w:rsidP="009352D8">
      <w:pPr>
        <w:rPr>
          <w:rFonts w:ascii="Arial" w:hAnsi="Arial" w:cs="Arial"/>
          <w:sz w:val="24"/>
          <w:szCs w:val="24"/>
        </w:rPr>
      </w:pPr>
    </w:p>
    <w:p w14:paraId="0CC726BA" w14:textId="77777777" w:rsidR="009352D8" w:rsidRPr="00564EF0" w:rsidRDefault="009352D8">
      <w:pPr>
        <w:rPr>
          <w:rFonts w:ascii="Arial" w:hAnsi="Arial" w:cs="Arial"/>
          <w:sz w:val="24"/>
          <w:szCs w:val="24"/>
        </w:rPr>
      </w:pPr>
    </w:p>
    <w:p w14:paraId="4EB30A5D" w14:textId="77777777" w:rsidR="002E2E42" w:rsidRPr="00564EF0" w:rsidRDefault="002E2E42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br w:type="page"/>
      </w:r>
    </w:p>
    <w:p w14:paraId="782355F0" w14:textId="77777777" w:rsidR="002E2E42" w:rsidRPr="00564EF0" w:rsidRDefault="002E2E42" w:rsidP="002E2E42">
      <w:pPr>
        <w:autoSpaceDE w:val="0"/>
        <w:autoSpaceDN w:val="0"/>
        <w:spacing w:line="480" w:lineRule="auto"/>
        <w:jc w:val="both"/>
        <w:rPr>
          <w:rFonts w:ascii="Arial" w:hAnsi="Arial" w:cs="Arial"/>
        </w:rPr>
      </w:pPr>
      <w:r w:rsidRPr="00564EF0">
        <w:rPr>
          <w:rFonts w:ascii="Arial" w:hAnsi="Arial" w:cs="Arial"/>
          <w:b/>
          <w:bCs/>
          <w:sz w:val="20"/>
          <w:szCs w:val="20"/>
        </w:rPr>
        <w:lastRenderedPageBreak/>
        <w:t>Population structure and Analysis of Molecular Variance (AMOVA)</w:t>
      </w:r>
    </w:p>
    <w:p w14:paraId="140B91B8" w14:textId="6D90B65D" w:rsidR="002E2E42" w:rsidRPr="00564EF0" w:rsidRDefault="000738CC" w:rsidP="002E2E42">
      <w:pPr>
        <w:autoSpaceDE w:val="0"/>
        <w:autoSpaceDN w:val="0"/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64EF0">
        <w:rPr>
          <w:rFonts w:ascii="Arial" w:hAnsi="Arial" w:cs="Arial"/>
          <w:sz w:val="20"/>
          <w:szCs w:val="20"/>
        </w:rPr>
        <w:t>To estimate the number of groups in our association panel, population structure analysis (Structure 2.0; Pritchard et al) was run</w:t>
      </w:r>
      <w:r w:rsidR="00FE6F14" w:rsidRPr="00564EF0">
        <w:rPr>
          <w:rFonts w:ascii="Arial" w:hAnsi="Arial" w:cs="Arial"/>
          <w:sz w:val="20"/>
          <w:szCs w:val="20"/>
        </w:rPr>
        <w:t xml:space="preserve"> assuming </w:t>
      </w:r>
      <w:r w:rsidR="00FE6F14" w:rsidRPr="00564EF0">
        <w:rPr>
          <w:rFonts w:ascii="Arial" w:hAnsi="Arial" w:cs="Arial"/>
          <w:i/>
          <w:sz w:val="20"/>
          <w:szCs w:val="20"/>
        </w:rPr>
        <w:t>K</w:t>
      </w:r>
      <w:r w:rsidR="00FE6F14" w:rsidRPr="00564EF0">
        <w:rPr>
          <w:rFonts w:ascii="Arial" w:hAnsi="Arial" w:cs="Arial"/>
          <w:sz w:val="20"/>
          <w:szCs w:val="20"/>
        </w:rPr>
        <w:t xml:space="preserve">=1 to </w:t>
      </w:r>
      <w:r w:rsidR="00FE6F14" w:rsidRPr="00564EF0">
        <w:rPr>
          <w:rFonts w:ascii="Arial" w:hAnsi="Arial" w:cs="Arial"/>
          <w:i/>
          <w:sz w:val="20"/>
          <w:szCs w:val="20"/>
        </w:rPr>
        <w:t>K</w:t>
      </w:r>
      <w:r w:rsidR="00FE6F14" w:rsidRPr="00564EF0">
        <w:rPr>
          <w:rFonts w:ascii="Arial" w:hAnsi="Arial" w:cs="Arial"/>
          <w:sz w:val="20"/>
          <w:szCs w:val="20"/>
        </w:rPr>
        <w:t>=20</w:t>
      </w:r>
      <w:r w:rsidRPr="00564EF0">
        <w:rPr>
          <w:rFonts w:ascii="Arial" w:hAnsi="Arial" w:cs="Arial"/>
          <w:sz w:val="20"/>
          <w:szCs w:val="20"/>
        </w:rPr>
        <w:t xml:space="preserve">. </w:t>
      </w:r>
      <w:r w:rsidR="002E2E42" w:rsidRPr="00564EF0">
        <w:rPr>
          <w:rFonts w:ascii="Arial" w:hAnsi="Arial" w:cs="Arial"/>
          <w:sz w:val="20"/>
          <w:szCs w:val="20"/>
        </w:rPr>
        <w:t>Analysis of population structure yielded nine sub-populations (</w:t>
      </w:r>
      <w:r w:rsidR="002E2E42" w:rsidRPr="00564EF0">
        <w:rPr>
          <w:rFonts w:ascii="Arial" w:hAnsi="Arial" w:cs="Arial"/>
          <w:i/>
          <w:iCs/>
          <w:sz w:val="20"/>
          <w:szCs w:val="20"/>
        </w:rPr>
        <w:t>K</w:t>
      </w:r>
      <w:r w:rsidR="002E2E42" w:rsidRPr="00564EF0">
        <w:rPr>
          <w:rFonts w:ascii="Arial" w:hAnsi="Arial" w:cs="Arial"/>
          <w:sz w:val="20"/>
          <w:szCs w:val="20"/>
        </w:rPr>
        <w:t>=9)</w:t>
      </w:r>
      <w:r w:rsidR="00FE6F14" w:rsidRPr="00564EF0">
        <w:rPr>
          <w:rFonts w:ascii="Arial" w:hAnsi="Arial" w:cs="Arial"/>
          <w:sz w:val="20"/>
          <w:szCs w:val="20"/>
        </w:rPr>
        <w:t xml:space="preserve"> as </w:t>
      </w:r>
      <w:proofErr w:type="spellStart"/>
      <w:proofErr w:type="gramStart"/>
      <w:r w:rsidR="00FE6F14" w:rsidRPr="00564EF0">
        <w:rPr>
          <w:rFonts w:ascii="Arial" w:hAnsi="Arial" w:cs="Arial"/>
          <w:sz w:val="20"/>
          <w:szCs w:val="20"/>
        </w:rPr>
        <w:t>LnP</w:t>
      </w:r>
      <w:proofErr w:type="spellEnd"/>
      <w:r w:rsidR="00FE6F14" w:rsidRPr="00564EF0">
        <w:rPr>
          <w:rFonts w:ascii="Arial" w:hAnsi="Arial" w:cs="Arial"/>
          <w:sz w:val="20"/>
          <w:szCs w:val="20"/>
        </w:rPr>
        <w:t>(</w:t>
      </w:r>
      <w:proofErr w:type="gramEnd"/>
      <w:r w:rsidR="00FE6F14" w:rsidRPr="00564EF0">
        <w:rPr>
          <w:rFonts w:ascii="Arial" w:hAnsi="Arial" w:cs="Arial"/>
          <w:sz w:val="20"/>
          <w:szCs w:val="20"/>
        </w:rPr>
        <w:t xml:space="preserve">D) values reached a plateau at </w:t>
      </w:r>
      <w:r w:rsidR="00FE6F14" w:rsidRPr="00564EF0">
        <w:rPr>
          <w:rFonts w:ascii="Arial" w:hAnsi="Arial" w:cs="Arial"/>
          <w:i/>
          <w:iCs/>
          <w:sz w:val="20"/>
          <w:szCs w:val="20"/>
        </w:rPr>
        <w:t>K</w:t>
      </w:r>
      <w:r w:rsidR="00FE6F14" w:rsidRPr="00564EF0">
        <w:rPr>
          <w:rFonts w:ascii="Arial" w:hAnsi="Arial" w:cs="Arial"/>
          <w:sz w:val="20"/>
          <w:szCs w:val="20"/>
        </w:rPr>
        <w:t xml:space="preserve"> = 9 which was also supported independently by Split Tree</w:t>
      </w:r>
      <w:r w:rsidR="002E2E42" w:rsidRPr="00564EF0">
        <w:rPr>
          <w:rFonts w:ascii="Arial" w:hAnsi="Arial" w:cs="Arial"/>
          <w:sz w:val="20"/>
          <w:szCs w:val="20"/>
        </w:rPr>
        <w:t>. The spring barley collection is clearly separated into two distinct groups according to the row type (2-rowed and 6-rowed) with very few exceptions. The two main clades were further divided into nine clusters (Figure S</w:t>
      </w:r>
      <w:r w:rsidR="00564EF0">
        <w:rPr>
          <w:rFonts w:ascii="Arial" w:hAnsi="Arial" w:cs="Arial"/>
          <w:sz w:val="20"/>
          <w:szCs w:val="20"/>
        </w:rPr>
        <w:t>2</w:t>
      </w:r>
      <w:r w:rsidR="002E2E42" w:rsidRPr="00564EF0">
        <w:rPr>
          <w:rFonts w:ascii="Arial" w:hAnsi="Arial" w:cs="Arial"/>
          <w:sz w:val="20"/>
          <w:szCs w:val="20"/>
        </w:rPr>
        <w:t xml:space="preserve">). High population variation was found within barley sub-populations, but considerable variation among sub-populations still exists. The variance components of within and between populations detected with AMOVA were 71.6% and 28.6% of the total variance, respectively, which were both significant at </w:t>
      </w:r>
      <w:r w:rsidR="002E2E42" w:rsidRPr="00564EF0">
        <w:rPr>
          <w:rFonts w:ascii="Arial" w:hAnsi="Arial" w:cs="Arial"/>
          <w:i/>
          <w:iCs/>
          <w:sz w:val="20"/>
          <w:szCs w:val="20"/>
        </w:rPr>
        <w:t xml:space="preserve">P </w:t>
      </w:r>
      <w:r w:rsidR="002E2E42" w:rsidRPr="00564EF0">
        <w:rPr>
          <w:rFonts w:ascii="Arial" w:hAnsi="Arial" w:cs="Arial"/>
          <w:sz w:val="20"/>
          <w:szCs w:val="20"/>
        </w:rPr>
        <w:t>≤ 0.001 (</w:t>
      </w:r>
      <w:r w:rsidR="00087190" w:rsidRPr="00564EF0">
        <w:rPr>
          <w:rFonts w:ascii="Arial" w:hAnsi="Arial" w:cs="Arial"/>
          <w:sz w:val="20"/>
          <w:szCs w:val="20"/>
        </w:rPr>
        <w:t>Additional file 1, Table S</w:t>
      </w:r>
      <w:r w:rsidR="00564EF0" w:rsidRPr="00564EF0">
        <w:rPr>
          <w:rFonts w:ascii="Arial" w:hAnsi="Arial" w:cs="Arial"/>
          <w:sz w:val="20"/>
          <w:szCs w:val="20"/>
        </w:rPr>
        <w:t>5</w:t>
      </w:r>
      <w:r w:rsidR="002E2E42" w:rsidRPr="00564EF0">
        <w:rPr>
          <w:rFonts w:ascii="Arial" w:hAnsi="Arial" w:cs="Arial"/>
          <w:sz w:val="20"/>
          <w:szCs w:val="20"/>
        </w:rPr>
        <w:t>). Excluding the admixed group (subpopulation 8), a little bit lower within population variation were observed (60.1%), and among populations' variation</w:t>
      </w:r>
      <w:r w:rsidR="00FE6F14" w:rsidRPr="00564EF0">
        <w:rPr>
          <w:rFonts w:ascii="Arial" w:hAnsi="Arial" w:cs="Arial"/>
          <w:sz w:val="20"/>
          <w:szCs w:val="20"/>
        </w:rPr>
        <w:t>s</w:t>
      </w:r>
      <w:r w:rsidR="002E2E42" w:rsidRPr="00564EF0">
        <w:rPr>
          <w:rFonts w:ascii="Arial" w:hAnsi="Arial" w:cs="Arial"/>
          <w:sz w:val="20"/>
          <w:szCs w:val="20"/>
        </w:rPr>
        <w:t xml:space="preserve"> were increased to reach 39.9%. Grouping of sub-populations is clearly dependent on row-ty</w:t>
      </w:r>
      <w:r w:rsidR="00087190" w:rsidRPr="00564EF0">
        <w:rPr>
          <w:rFonts w:ascii="Arial" w:hAnsi="Arial" w:cs="Arial"/>
          <w:sz w:val="20"/>
          <w:szCs w:val="20"/>
        </w:rPr>
        <w:t>pe and origin of the genotypes</w:t>
      </w:r>
      <w:r w:rsidR="002E2E42" w:rsidRPr="00564EF0">
        <w:rPr>
          <w:rFonts w:ascii="Arial" w:hAnsi="Arial" w:cs="Arial"/>
          <w:sz w:val="20"/>
          <w:szCs w:val="20"/>
        </w:rPr>
        <w:t xml:space="preserve">. The two-rowed barleys included two big subpopulation originated from Europe (sub-population 2 and sub-population 5), and one small sub-population (sub-population 6 with 4 genotypes) originated from WANA. Six rowed barley was sub-structured into two major groups: subpopulation 4 (mostly originated from EA and admixed with 5 genotypes from WANA) and sub-population 9 (mostly originated from EU), and another three small groups: sub-population 1, 3 and 7 with 12, 3 and 7 genotypes respectively originated from WANA and AM. Further, sub-population 8 was </w:t>
      </w:r>
      <w:proofErr w:type="gramStart"/>
      <w:r w:rsidR="002E2E42" w:rsidRPr="00564EF0">
        <w:rPr>
          <w:rFonts w:ascii="Arial" w:hAnsi="Arial" w:cs="Arial"/>
          <w:sz w:val="20"/>
          <w:szCs w:val="20"/>
        </w:rPr>
        <w:t>a</w:t>
      </w:r>
      <w:proofErr w:type="gramEnd"/>
      <w:r w:rsidR="002E2E42" w:rsidRPr="00564EF0">
        <w:rPr>
          <w:rFonts w:ascii="Arial" w:hAnsi="Arial" w:cs="Arial"/>
          <w:sz w:val="20"/>
          <w:szCs w:val="20"/>
        </w:rPr>
        <w:t xml:space="preserve"> admixture of two and six rowed barley with no clear pattern of clustering by origin for this group.</w:t>
      </w:r>
    </w:p>
    <w:p w14:paraId="19553B2F" w14:textId="57B1CCC7" w:rsidR="002570D0" w:rsidRPr="00564EF0" w:rsidRDefault="002570D0" w:rsidP="002E2E42">
      <w:pPr>
        <w:autoSpaceDE w:val="0"/>
        <w:autoSpaceDN w:val="0"/>
        <w:spacing w:line="480" w:lineRule="auto"/>
        <w:jc w:val="both"/>
        <w:rPr>
          <w:rFonts w:ascii="Arial" w:hAnsi="Arial" w:cs="Arial"/>
          <w:b/>
        </w:rPr>
      </w:pPr>
      <w:r w:rsidRPr="00564EF0">
        <w:rPr>
          <w:rFonts w:ascii="Arial" w:hAnsi="Arial" w:cs="Arial"/>
          <w:b/>
          <w:sz w:val="20"/>
          <w:szCs w:val="20"/>
        </w:rPr>
        <w:t>Phenotypic differences within the groups</w:t>
      </w:r>
    </w:p>
    <w:p w14:paraId="1AE1ED2E" w14:textId="28AAD5FC" w:rsidR="00564EF0" w:rsidRDefault="002E2E42" w:rsidP="002E2E42">
      <w:pPr>
        <w:autoSpaceDE w:val="0"/>
        <w:autoSpaceDN w:val="0"/>
        <w:spacing w:line="480" w:lineRule="auto"/>
        <w:jc w:val="both"/>
        <w:rPr>
          <w:rStyle w:val="st"/>
          <w:rFonts w:ascii="Arial" w:hAnsi="Arial" w:cs="Arial"/>
          <w:sz w:val="20"/>
          <w:szCs w:val="20"/>
        </w:rPr>
      </w:pPr>
      <w:r w:rsidRPr="00564EF0">
        <w:rPr>
          <w:rFonts w:ascii="Arial" w:hAnsi="Arial" w:cs="Arial"/>
          <w:sz w:val="20"/>
          <w:szCs w:val="20"/>
        </w:rPr>
        <w:t xml:space="preserve">We tested the sub-populations for phenotypic differences and observed that six-rowed barley showed a tendency to more vigorous root system as compared to two-rowed barleys subpopulations </w:t>
      </w:r>
      <w:r w:rsidR="00564EF0" w:rsidRPr="00564EF0">
        <w:rPr>
          <w:rFonts w:ascii="Arial" w:hAnsi="Arial" w:cs="Arial"/>
          <w:sz w:val="20"/>
          <w:szCs w:val="20"/>
        </w:rPr>
        <w:t>(Additional file 1, Table S6)</w:t>
      </w:r>
      <w:r w:rsidRPr="00564EF0">
        <w:rPr>
          <w:rFonts w:ascii="Arial" w:hAnsi="Arial" w:cs="Arial"/>
          <w:sz w:val="20"/>
          <w:szCs w:val="20"/>
        </w:rPr>
        <w:t xml:space="preserve">. </w:t>
      </w:r>
      <w:r w:rsidRPr="00564EF0">
        <w:rPr>
          <w:rFonts w:ascii="Arial" w:hAnsi="Arial" w:cs="Arial"/>
          <w:bCs/>
        </w:rPr>
        <w:t>Six-rowed genotypes</w:t>
      </w:r>
      <w:r w:rsidRPr="00564EF0">
        <w:rPr>
          <w:rFonts w:ascii="Arial" w:hAnsi="Arial" w:cs="Arial"/>
        </w:rPr>
        <w:t xml:space="preserve"> of sub-population 1 consistently </w:t>
      </w:r>
      <w:r w:rsidRPr="00564EF0">
        <w:rPr>
          <w:rFonts w:ascii="Arial" w:hAnsi="Arial" w:cs="Arial"/>
          <w:bCs/>
        </w:rPr>
        <w:t xml:space="preserve">had </w:t>
      </w:r>
      <w:r w:rsidRPr="00564EF0">
        <w:rPr>
          <w:rFonts w:ascii="Arial" w:hAnsi="Arial" w:cs="Arial"/>
          <w:sz w:val="20"/>
          <w:szCs w:val="20"/>
        </w:rPr>
        <w:t xml:space="preserve">more vigorous roots system </w:t>
      </w:r>
      <w:r w:rsidRPr="00564EF0">
        <w:rPr>
          <w:rFonts w:ascii="Arial" w:hAnsi="Arial" w:cs="Arial"/>
        </w:rPr>
        <w:t xml:space="preserve">than </w:t>
      </w:r>
      <w:r w:rsidRPr="00564EF0">
        <w:rPr>
          <w:rFonts w:ascii="Arial" w:hAnsi="Arial" w:cs="Arial"/>
          <w:bCs/>
        </w:rPr>
        <w:t>genotypes</w:t>
      </w:r>
      <w:r w:rsidRPr="00564EF0">
        <w:rPr>
          <w:rFonts w:ascii="Arial" w:hAnsi="Arial" w:cs="Arial"/>
        </w:rPr>
        <w:t xml:space="preserve"> belonging to other </w:t>
      </w:r>
      <w:r w:rsidRPr="00564EF0">
        <w:rPr>
          <w:rFonts w:ascii="Arial" w:hAnsi="Arial" w:cs="Arial"/>
          <w:bCs/>
        </w:rPr>
        <w:t>sub-populations</w:t>
      </w:r>
      <w:r w:rsidRPr="00564EF0">
        <w:rPr>
          <w:rFonts w:ascii="Arial" w:hAnsi="Arial" w:cs="Arial"/>
          <w:b/>
          <w:bCs/>
        </w:rPr>
        <w:t xml:space="preserve"> </w:t>
      </w:r>
      <w:r w:rsidRPr="00564EF0">
        <w:rPr>
          <w:rFonts w:ascii="Arial" w:hAnsi="Arial" w:cs="Arial"/>
        </w:rPr>
        <w:t>under both optimum and PEG-induced drought conditions</w:t>
      </w:r>
      <w:r w:rsidRPr="00564EF0">
        <w:rPr>
          <w:rFonts w:ascii="Arial" w:hAnsi="Arial" w:cs="Arial"/>
          <w:sz w:val="20"/>
          <w:szCs w:val="20"/>
        </w:rPr>
        <w:t xml:space="preserve">. Another interesting two-rowed subpopulation was found in sub-population 6, having a medium vigorous root system under optimum and PEG induced drought stress conditions, represented by the traits RDW, TRL and TRV. Contrastingly, three European sub-populations (2, 5 and 9) and a sub-population (7) with AM and WANA origins showed a relatively poor </w:t>
      </w:r>
      <w:r w:rsidRPr="00564EF0">
        <w:rPr>
          <w:rFonts w:ascii="Arial" w:hAnsi="Arial" w:cs="Arial"/>
          <w:sz w:val="20"/>
          <w:szCs w:val="20"/>
        </w:rPr>
        <w:lastRenderedPageBreak/>
        <w:t xml:space="preserve">root performance compared to all other sub-populations </w:t>
      </w:r>
      <w:r w:rsidRPr="00564EF0">
        <w:rPr>
          <w:rStyle w:val="st"/>
          <w:rFonts w:ascii="Arial" w:hAnsi="Arial" w:cs="Arial"/>
          <w:sz w:val="20"/>
          <w:szCs w:val="20"/>
        </w:rPr>
        <w:t>under optimum and PEG-induced drought stress conditions. Other sub-populations (3 and 4) exhibited medium vigorous root systems.</w:t>
      </w:r>
    </w:p>
    <w:p w14:paraId="3CDFF459" w14:textId="77777777" w:rsidR="00564EF0" w:rsidRDefault="00564EF0">
      <w:pPr>
        <w:rPr>
          <w:rStyle w:val="st"/>
          <w:rFonts w:ascii="Arial" w:hAnsi="Arial" w:cs="Arial"/>
          <w:sz w:val="20"/>
          <w:szCs w:val="20"/>
        </w:rPr>
      </w:pPr>
      <w:r>
        <w:rPr>
          <w:rStyle w:val="st"/>
          <w:rFonts w:ascii="Arial" w:hAnsi="Arial" w:cs="Arial"/>
          <w:sz w:val="20"/>
          <w:szCs w:val="20"/>
        </w:rPr>
        <w:br w:type="page"/>
      </w:r>
    </w:p>
    <w:p w14:paraId="174AB913" w14:textId="77777777" w:rsidR="002E2E42" w:rsidRPr="00564EF0" w:rsidRDefault="002E2E42" w:rsidP="002E2E42">
      <w:pPr>
        <w:autoSpaceDE w:val="0"/>
        <w:autoSpaceDN w:val="0"/>
        <w:spacing w:line="480" w:lineRule="auto"/>
        <w:jc w:val="both"/>
        <w:rPr>
          <w:rFonts w:ascii="Arial" w:hAnsi="Arial" w:cs="Arial"/>
        </w:rPr>
      </w:pPr>
    </w:p>
    <w:p w14:paraId="4D388EA8" w14:textId="56A54FE8" w:rsidR="00D061F6" w:rsidRPr="00564EF0" w:rsidRDefault="00087190" w:rsidP="002E2E42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noProof/>
          <w:sz w:val="24"/>
          <w:szCs w:val="24"/>
          <w:lang w:val="de-DE" w:eastAsia="de-DE"/>
        </w:rPr>
        <w:drawing>
          <wp:inline distT="0" distB="0" distL="0" distR="0" wp14:anchorId="3009CA53" wp14:editId="0283F242">
            <wp:extent cx="4996922" cy="7442791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X scanned roots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9169" cy="744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35AE4" w14:textId="4967BD01" w:rsidR="00087190" w:rsidRPr="00564EF0" w:rsidRDefault="00087190" w:rsidP="002E2E42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b/>
          <w:sz w:val="24"/>
          <w:szCs w:val="24"/>
        </w:rPr>
        <w:t>Fig. S1:</w:t>
      </w:r>
      <w:r w:rsidRPr="00564EF0">
        <w:rPr>
          <w:rFonts w:ascii="Arial" w:hAnsi="Arial" w:cs="Arial"/>
          <w:sz w:val="24"/>
          <w:szCs w:val="24"/>
        </w:rPr>
        <w:t xml:space="preserve"> </w:t>
      </w:r>
      <w:r w:rsidR="00801F3B" w:rsidRPr="00564EF0">
        <w:rPr>
          <w:rFonts w:ascii="Arial" w:hAnsi="Arial" w:cs="Arial"/>
          <w:sz w:val="24"/>
          <w:szCs w:val="24"/>
        </w:rPr>
        <w:t xml:space="preserve">Image scans of the roots. </w:t>
      </w:r>
      <w:r w:rsidR="009A4D4C">
        <w:rPr>
          <w:rFonts w:ascii="Arial" w:hAnsi="Arial" w:cs="Arial"/>
          <w:sz w:val="24"/>
          <w:szCs w:val="24"/>
        </w:rPr>
        <w:t xml:space="preserve">Examples of scanned roots </w:t>
      </w:r>
      <w:r w:rsidRPr="00564EF0">
        <w:rPr>
          <w:rFonts w:ascii="Arial" w:hAnsi="Arial" w:cs="Arial"/>
          <w:sz w:val="24"/>
          <w:szCs w:val="24"/>
        </w:rPr>
        <w:t>from individual plants of three genotypes with small</w:t>
      </w:r>
      <w:r w:rsidR="009A4D4C">
        <w:rPr>
          <w:rFonts w:ascii="Arial" w:hAnsi="Arial" w:cs="Arial"/>
          <w:sz w:val="24"/>
          <w:szCs w:val="24"/>
        </w:rPr>
        <w:t>, medium and large root systems: on the left side are shown roots from osmotic stress treatment and on the right, rots from the non-stress treatment.</w:t>
      </w:r>
    </w:p>
    <w:p w14:paraId="306B55AB" w14:textId="1EAF3E81" w:rsidR="00D061F6" w:rsidRPr="00564EF0" w:rsidRDefault="00E54694" w:rsidP="00D061F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564EF0">
        <w:rPr>
          <w:rFonts w:ascii="Arial" w:hAnsi="Arial" w:cs="Arial"/>
          <w:noProof/>
          <w:sz w:val="24"/>
          <w:szCs w:val="24"/>
          <w:lang w:val="de-DE" w:eastAsia="de-DE"/>
        </w:rPr>
        <w:lastRenderedPageBreak/>
        <w:drawing>
          <wp:inline distT="0" distB="0" distL="0" distR="0" wp14:anchorId="0943CAC2" wp14:editId="687CA83F">
            <wp:extent cx="5727700" cy="4304665"/>
            <wp:effectExtent l="0" t="0" r="6350" b="635"/>
            <wp:docPr id="3" name="Picture 3" descr="U:\Manuscripts\Adel_080812\submission to BMC_05122018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Manuscripts\Adel_080812\submission to BMC_05122018\Figure S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5C571" w14:textId="77777777" w:rsidR="0087695D" w:rsidRPr="00564EF0" w:rsidRDefault="0087695D" w:rsidP="00594291">
      <w:pPr>
        <w:jc w:val="both"/>
        <w:rPr>
          <w:rFonts w:ascii="Arial" w:hAnsi="Arial" w:cs="Arial"/>
          <w:sz w:val="24"/>
          <w:szCs w:val="24"/>
        </w:rPr>
      </w:pPr>
    </w:p>
    <w:p w14:paraId="69C14EFE" w14:textId="2C897F17" w:rsidR="00F65182" w:rsidRPr="00564EF0" w:rsidRDefault="00E54694" w:rsidP="00BD5114">
      <w:pPr>
        <w:jc w:val="both"/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b/>
          <w:bCs/>
          <w:sz w:val="24"/>
          <w:szCs w:val="24"/>
        </w:rPr>
        <w:t>Fig S</w:t>
      </w:r>
      <w:r w:rsidR="00087190" w:rsidRPr="00564EF0">
        <w:rPr>
          <w:rFonts w:ascii="Arial" w:hAnsi="Arial" w:cs="Arial"/>
          <w:b/>
          <w:bCs/>
          <w:sz w:val="24"/>
          <w:szCs w:val="24"/>
        </w:rPr>
        <w:t>2</w:t>
      </w:r>
      <w:r w:rsidRPr="00564EF0">
        <w:rPr>
          <w:rFonts w:ascii="Arial" w:hAnsi="Arial" w:cs="Arial"/>
          <w:b/>
          <w:bCs/>
          <w:sz w:val="24"/>
          <w:szCs w:val="24"/>
        </w:rPr>
        <w:t>:</w:t>
      </w:r>
      <w:r w:rsidRPr="00564EF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01F3B" w:rsidRPr="00564EF0">
        <w:rPr>
          <w:rFonts w:ascii="Arial" w:hAnsi="Arial" w:cs="Arial"/>
          <w:sz w:val="24"/>
          <w:szCs w:val="24"/>
        </w:rPr>
        <w:t>Neighbor</w:t>
      </w:r>
      <w:proofErr w:type="spellEnd"/>
      <w:r w:rsidR="00801F3B" w:rsidRPr="00564EF0">
        <w:rPr>
          <w:rFonts w:ascii="Arial" w:hAnsi="Arial" w:cs="Arial"/>
          <w:sz w:val="24"/>
          <w:szCs w:val="24"/>
        </w:rPr>
        <w:t xml:space="preserve"> Net planar </w:t>
      </w:r>
      <w:r w:rsidR="00F65182" w:rsidRPr="00564EF0">
        <w:rPr>
          <w:rFonts w:ascii="Arial" w:hAnsi="Arial" w:cs="Arial"/>
          <w:sz w:val="24"/>
          <w:szCs w:val="24"/>
        </w:rPr>
        <w:t>network tree for the collection of 233 accessions based on 6,019 SNP markers</w:t>
      </w:r>
      <w:r w:rsidR="00D12805" w:rsidRPr="00564EF0">
        <w:rPr>
          <w:rFonts w:ascii="Arial" w:hAnsi="Arial" w:cs="Arial"/>
          <w:sz w:val="24"/>
          <w:szCs w:val="24"/>
        </w:rPr>
        <w:t xml:space="preserve"> </w:t>
      </w:r>
      <w:r w:rsidR="009A4D4C">
        <w:rPr>
          <w:rFonts w:ascii="Arial" w:hAnsi="Arial" w:cs="Arial"/>
          <w:sz w:val="24"/>
          <w:szCs w:val="24"/>
        </w:rPr>
        <w:t xml:space="preserve">with </w:t>
      </w:r>
      <w:r w:rsidR="00D12805" w:rsidRPr="00564EF0">
        <w:rPr>
          <w:rFonts w:ascii="Arial" w:hAnsi="Arial" w:cs="Arial"/>
          <w:sz w:val="24"/>
          <w:szCs w:val="24"/>
        </w:rPr>
        <w:t>Hamming distances (uncorrected-P)</w:t>
      </w:r>
      <w:r w:rsidR="00F65182" w:rsidRPr="00564EF0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="00F65182" w:rsidRPr="00564EF0">
        <w:rPr>
          <w:rFonts w:ascii="Arial" w:hAnsi="Arial" w:cs="Arial"/>
          <w:sz w:val="24"/>
          <w:szCs w:val="24"/>
        </w:rPr>
        <w:t>colors</w:t>
      </w:r>
      <w:proofErr w:type="spellEnd"/>
      <w:r w:rsidR="00F65182" w:rsidRPr="00564EF0">
        <w:rPr>
          <w:rFonts w:ascii="Arial" w:hAnsi="Arial" w:cs="Arial"/>
          <w:sz w:val="24"/>
          <w:szCs w:val="24"/>
        </w:rPr>
        <w:t xml:space="preserve"> indicate the 9 different sub-populations identified by STRUCTURE 2.0. The red arrows indicate the ten additional genotypes compared to the widely used panel of </w:t>
      </w:r>
      <w:r w:rsidRPr="00564EF0">
        <w:rPr>
          <w:rFonts w:ascii="Arial" w:hAnsi="Arial" w:cs="Arial"/>
          <w:sz w:val="24"/>
          <w:szCs w:val="24"/>
        </w:rPr>
        <w:t>(</w:t>
      </w:r>
      <w:proofErr w:type="spellStart"/>
      <w:r w:rsidRPr="00564EF0">
        <w:rPr>
          <w:rFonts w:ascii="Arial" w:hAnsi="Arial" w:cs="Arial"/>
          <w:sz w:val="24"/>
          <w:szCs w:val="24"/>
        </w:rPr>
        <w:t>Pasam</w:t>
      </w:r>
      <w:proofErr w:type="spellEnd"/>
      <w:r w:rsidRPr="00564EF0">
        <w:rPr>
          <w:rFonts w:ascii="Arial" w:hAnsi="Arial" w:cs="Arial"/>
          <w:sz w:val="24"/>
          <w:szCs w:val="24"/>
        </w:rPr>
        <w:t xml:space="preserve"> et al. 2012).</w:t>
      </w:r>
    </w:p>
    <w:p w14:paraId="7B1E1CA1" w14:textId="77777777" w:rsidR="00087190" w:rsidRPr="00564EF0" w:rsidRDefault="00087190" w:rsidP="00E54694">
      <w:pPr>
        <w:rPr>
          <w:rFonts w:ascii="Arial" w:hAnsi="Arial" w:cs="Arial"/>
          <w:sz w:val="24"/>
          <w:szCs w:val="24"/>
        </w:rPr>
      </w:pPr>
    </w:p>
    <w:p w14:paraId="5619A3FE" w14:textId="77777777" w:rsidR="00F65182" w:rsidRPr="00564EF0" w:rsidRDefault="00F65182">
      <w:pPr>
        <w:rPr>
          <w:rFonts w:ascii="Arial" w:hAnsi="Arial" w:cs="Arial"/>
          <w:sz w:val="24"/>
          <w:szCs w:val="24"/>
        </w:rPr>
      </w:pPr>
    </w:p>
    <w:p w14:paraId="05BB88ED" w14:textId="3E34035B" w:rsidR="0087695D" w:rsidRPr="00564EF0" w:rsidRDefault="00F65182" w:rsidP="00E54694">
      <w:pPr>
        <w:rPr>
          <w:rFonts w:ascii="Arial" w:hAnsi="Arial" w:cs="Arial"/>
        </w:rPr>
      </w:pPr>
      <w:r w:rsidRPr="00564EF0">
        <w:rPr>
          <w:rFonts w:ascii="Arial" w:hAnsi="Arial" w:cs="Arial"/>
          <w:noProof/>
          <w:lang w:val="de-DE" w:eastAsia="de-DE"/>
        </w:rPr>
        <w:lastRenderedPageBreak/>
        <w:drawing>
          <wp:inline distT="0" distB="0" distL="0" distR="0" wp14:anchorId="74FF414A" wp14:editId="041BEBDC">
            <wp:extent cx="5727700" cy="6668135"/>
            <wp:effectExtent l="0" t="0" r="6350" b="0"/>
            <wp:docPr id="5" name="Picture 5" descr="U:\Manuscripts\Adel_080812\submission to BMC_05122018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Manuscripts\Adel_080812\submission to BMC_05122018\Figure S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66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188E1" w14:textId="7FC443F3" w:rsidR="004D6A9D" w:rsidRPr="00564EF0" w:rsidRDefault="00F65182" w:rsidP="00BD5114">
      <w:pPr>
        <w:jc w:val="both"/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b/>
          <w:bCs/>
          <w:sz w:val="24"/>
          <w:szCs w:val="24"/>
        </w:rPr>
        <w:t>Fig S</w:t>
      </w:r>
      <w:r w:rsidR="00087190" w:rsidRPr="00564EF0">
        <w:rPr>
          <w:rFonts w:ascii="Arial" w:hAnsi="Arial" w:cs="Arial"/>
          <w:b/>
          <w:bCs/>
          <w:sz w:val="24"/>
          <w:szCs w:val="24"/>
        </w:rPr>
        <w:t>3</w:t>
      </w:r>
      <w:r w:rsidRPr="00564EF0">
        <w:rPr>
          <w:rFonts w:ascii="Arial" w:hAnsi="Arial" w:cs="Arial"/>
          <w:b/>
          <w:bCs/>
          <w:sz w:val="24"/>
          <w:szCs w:val="24"/>
        </w:rPr>
        <w:t>:</w:t>
      </w:r>
      <w:r w:rsidRPr="00564EF0">
        <w:rPr>
          <w:rFonts w:ascii="Arial" w:hAnsi="Arial" w:cs="Arial"/>
          <w:sz w:val="24"/>
          <w:szCs w:val="24"/>
        </w:rPr>
        <w:t xml:space="preserve"> LD pattern </w:t>
      </w:r>
      <w:r w:rsidR="00566B2F" w:rsidRPr="00564EF0">
        <w:rPr>
          <w:rFonts w:ascii="Arial" w:hAnsi="Arial" w:cs="Arial"/>
          <w:sz w:val="24"/>
          <w:szCs w:val="24"/>
        </w:rPr>
        <w:t>along the</w:t>
      </w:r>
      <w:r w:rsidRPr="00564EF0">
        <w:rPr>
          <w:rFonts w:ascii="Arial" w:hAnsi="Arial" w:cs="Arial"/>
          <w:sz w:val="24"/>
          <w:szCs w:val="24"/>
        </w:rPr>
        <w:t xml:space="preserve"> individual chromosomes </w:t>
      </w:r>
      <w:r w:rsidR="00566B2F" w:rsidRPr="00564EF0">
        <w:rPr>
          <w:rFonts w:ascii="Arial" w:hAnsi="Arial" w:cs="Arial"/>
          <w:sz w:val="24"/>
          <w:szCs w:val="24"/>
        </w:rPr>
        <w:t>of barley.</w:t>
      </w:r>
      <w:r w:rsidR="00DD28D0" w:rsidRPr="00564EF0">
        <w:rPr>
          <w:rFonts w:ascii="Arial" w:hAnsi="Arial" w:cs="Arial"/>
          <w:sz w:val="24"/>
          <w:szCs w:val="24"/>
        </w:rPr>
        <w:t xml:space="preserve"> High LD regions are shown with grey and black </w:t>
      </w:r>
      <w:proofErr w:type="spellStart"/>
      <w:r w:rsidR="00DD28D0" w:rsidRPr="00564EF0">
        <w:rPr>
          <w:rFonts w:ascii="Arial" w:hAnsi="Arial" w:cs="Arial"/>
          <w:sz w:val="24"/>
          <w:szCs w:val="24"/>
        </w:rPr>
        <w:t>colors</w:t>
      </w:r>
      <w:proofErr w:type="spellEnd"/>
      <w:r w:rsidR="00DD28D0" w:rsidRPr="00564EF0">
        <w:rPr>
          <w:rFonts w:ascii="Arial" w:hAnsi="Arial" w:cs="Arial"/>
          <w:sz w:val="24"/>
          <w:szCs w:val="24"/>
        </w:rPr>
        <w:t xml:space="preserve">. Solid spine of LD method was used to define the LD blocks as implemented in the </w:t>
      </w:r>
      <w:proofErr w:type="spellStart"/>
      <w:r w:rsidR="00DD28D0" w:rsidRPr="00564EF0">
        <w:rPr>
          <w:rFonts w:ascii="Arial" w:hAnsi="Arial" w:cs="Arial"/>
          <w:sz w:val="24"/>
          <w:szCs w:val="24"/>
        </w:rPr>
        <w:t>Haploview</w:t>
      </w:r>
      <w:proofErr w:type="spellEnd"/>
      <w:r w:rsidR="00DD28D0" w:rsidRPr="00564EF0">
        <w:rPr>
          <w:rFonts w:ascii="Arial" w:hAnsi="Arial" w:cs="Arial"/>
          <w:sz w:val="24"/>
          <w:szCs w:val="24"/>
        </w:rPr>
        <w:t xml:space="preserve"> version 4.2</w:t>
      </w:r>
      <w:r w:rsidR="00EF0161" w:rsidRPr="00564EF0">
        <w:rPr>
          <w:rFonts w:ascii="Arial" w:hAnsi="Arial" w:cs="Arial"/>
          <w:sz w:val="24"/>
          <w:szCs w:val="24"/>
        </w:rPr>
        <w:t xml:space="preserve"> (Barret et al. 2005)</w:t>
      </w:r>
      <w:r w:rsidR="00DD28D0" w:rsidRPr="00564EF0">
        <w:rPr>
          <w:rFonts w:ascii="Arial" w:hAnsi="Arial" w:cs="Arial"/>
          <w:sz w:val="24"/>
          <w:szCs w:val="24"/>
        </w:rPr>
        <w:t>.</w:t>
      </w:r>
    </w:p>
    <w:p w14:paraId="4EC3E728" w14:textId="77777777" w:rsidR="004D6A9D" w:rsidRPr="00564EF0" w:rsidRDefault="004D6A9D">
      <w:pPr>
        <w:rPr>
          <w:rFonts w:ascii="Arial" w:hAnsi="Arial" w:cs="Arial"/>
          <w:sz w:val="24"/>
          <w:szCs w:val="24"/>
        </w:rPr>
      </w:pPr>
      <w:r w:rsidRPr="00564EF0">
        <w:rPr>
          <w:rFonts w:ascii="Arial" w:hAnsi="Arial" w:cs="Arial"/>
          <w:sz w:val="24"/>
          <w:szCs w:val="24"/>
        </w:rPr>
        <w:br w:type="page"/>
      </w:r>
    </w:p>
    <w:p w14:paraId="00C8259C" w14:textId="083C0347" w:rsidR="00F65182" w:rsidRPr="00564EF0" w:rsidRDefault="00BD5114" w:rsidP="00F65182">
      <w:pPr>
        <w:rPr>
          <w:rFonts w:ascii="Arial" w:hAnsi="Arial" w:cs="Arial"/>
        </w:rPr>
      </w:pPr>
      <w:r w:rsidRPr="00564EF0">
        <w:rPr>
          <w:rFonts w:ascii="Arial" w:hAnsi="Arial" w:cs="Arial"/>
          <w:noProof/>
          <w:lang w:val="de-DE" w:eastAsia="de-DE"/>
        </w:rPr>
        <w:lastRenderedPageBreak/>
        <w:drawing>
          <wp:inline distT="0" distB="0" distL="0" distR="0" wp14:anchorId="6B270C32" wp14:editId="3DFF5A67">
            <wp:extent cx="5719445" cy="6288405"/>
            <wp:effectExtent l="0" t="0" r="0" b="0"/>
            <wp:docPr id="1" name="Picture 1" descr="U:\Manuscripts\Adel_080812\submission to BMC_05122018\25022019\06032019\test S4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Manuscripts\Adel_080812\submission to BMC_05122018\25022019\06032019\test S4.e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628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0FDAB" w14:textId="30A7377A" w:rsidR="004D6A9D" w:rsidRPr="00564EF0" w:rsidRDefault="004D6A9D" w:rsidP="00F65182">
      <w:pPr>
        <w:rPr>
          <w:rFonts w:ascii="Arial" w:hAnsi="Arial" w:cs="Arial"/>
        </w:rPr>
      </w:pPr>
      <w:r w:rsidRPr="00564EF0">
        <w:rPr>
          <w:rFonts w:ascii="Arial" w:hAnsi="Arial" w:cs="Arial"/>
          <w:b/>
        </w:rPr>
        <w:t>Fig S4</w:t>
      </w:r>
      <w:r w:rsidRPr="00564EF0">
        <w:rPr>
          <w:rFonts w:ascii="Arial" w:hAnsi="Arial" w:cs="Arial"/>
        </w:rPr>
        <w:t xml:space="preserve"> Schematic representation of </w:t>
      </w:r>
      <w:r w:rsidR="00EF0161" w:rsidRPr="00564EF0">
        <w:rPr>
          <w:rFonts w:ascii="Arial" w:hAnsi="Arial" w:cs="Arial"/>
        </w:rPr>
        <w:t xml:space="preserve">eight </w:t>
      </w:r>
      <w:r w:rsidRPr="00564EF0">
        <w:rPr>
          <w:rFonts w:ascii="Arial" w:hAnsi="Arial" w:cs="Arial"/>
        </w:rPr>
        <w:t>re-sequenced candidate</w:t>
      </w:r>
      <w:r w:rsidR="00EF0161" w:rsidRPr="00564EF0">
        <w:rPr>
          <w:rFonts w:ascii="Arial" w:hAnsi="Arial" w:cs="Arial"/>
        </w:rPr>
        <w:t xml:space="preserve"> genes models</w:t>
      </w:r>
      <w:r w:rsidR="00A14767">
        <w:rPr>
          <w:rFonts w:ascii="Arial" w:hAnsi="Arial" w:cs="Arial"/>
        </w:rPr>
        <w:t xml:space="preserve">, where in the CG-association approach significant associations were found. </w:t>
      </w:r>
      <w:r w:rsidRPr="00564EF0">
        <w:rPr>
          <w:rFonts w:ascii="Arial" w:hAnsi="Arial" w:cs="Arial"/>
        </w:rPr>
        <w:t xml:space="preserve">All </w:t>
      </w:r>
      <w:r w:rsidR="00A14767">
        <w:rPr>
          <w:rFonts w:ascii="Arial" w:hAnsi="Arial" w:cs="Arial"/>
        </w:rPr>
        <w:t>identified</w:t>
      </w:r>
      <w:r w:rsidR="00BD5114" w:rsidRPr="00564EF0">
        <w:rPr>
          <w:rFonts w:ascii="Arial" w:hAnsi="Arial" w:cs="Arial"/>
        </w:rPr>
        <w:t xml:space="preserve"> </w:t>
      </w:r>
      <w:r w:rsidRPr="00564EF0">
        <w:rPr>
          <w:rFonts w:ascii="Arial" w:hAnsi="Arial" w:cs="Arial"/>
        </w:rPr>
        <w:t>SNPs within the re-sequenced region are indicated and those with -</w:t>
      </w:r>
      <w:proofErr w:type="gramStart"/>
      <w:r w:rsidRPr="00564EF0">
        <w:rPr>
          <w:rFonts w:ascii="Arial" w:hAnsi="Arial" w:cs="Arial"/>
        </w:rPr>
        <w:t>log(</w:t>
      </w:r>
      <w:proofErr w:type="gramEnd"/>
      <w:r w:rsidRPr="00564EF0">
        <w:rPr>
          <w:rFonts w:ascii="Arial" w:hAnsi="Arial" w:cs="Arial"/>
        </w:rPr>
        <w:t>p)-value &gt;2</w:t>
      </w:r>
      <w:r w:rsidR="00A14767">
        <w:rPr>
          <w:rFonts w:ascii="Arial" w:hAnsi="Arial" w:cs="Arial"/>
        </w:rPr>
        <w:t xml:space="preserve"> in CG-association approach</w:t>
      </w:r>
      <w:r w:rsidRPr="00564EF0">
        <w:rPr>
          <w:rFonts w:ascii="Arial" w:hAnsi="Arial" w:cs="Arial"/>
        </w:rPr>
        <w:t xml:space="preserve"> are highlighted in yellow (see Table S10)</w:t>
      </w:r>
      <w:r w:rsidR="00A14767">
        <w:rPr>
          <w:rFonts w:ascii="Arial" w:hAnsi="Arial" w:cs="Arial"/>
        </w:rPr>
        <w:t xml:space="preserve"> for more details</w:t>
      </w:r>
      <w:r w:rsidRPr="00564EF0">
        <w:rPr>
          <w:rFonts w:ascii="Arial" w:hAnsi="Arial" w:cs="Arial"/>
        </w:rPr>
        <w:t>.</w:t>
      </w:r>
    </w:p>
    <w:p w14:paraId="43E0C98A" w14:textId="77777777" w:rsidR="00344FE4" w:rsidRPr="00564EF0" w:rsidRDefault="00344FE4" w:rsidP="00F65182">
      <w:pPr>
        <w:rPr>
          <w:rFonts w:ascii="Arial" w:hAnsi="Arial" w:cs="Arial"/>
        </w:rPr>
      </w:pPr>
      <w:bookmarkStart w:id="0" w:name="_GoBack"/>
      <w:bookmarkEnd w:id="0"/>
    </w:p>
    <w:sectPr w:rsidR="00344FE4" w:rsidRPr="00564E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5EF7D5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ajiv Sharma">
    <w15:presenceInfo w15:providerId="AD" w15:userId="S-1-5-21-2022948797-3917378930-603701244-199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O0MLMwNTI3sTQ2tTBS0lEKTi0uzszPAykwrgUAVm7o/SwAAAA="/>
  </w:docVars>
  <w:rsids>
    <w:rsidRoot w:val="00D34B5B"/>
    <w:rsid w:val="000738CC"/>
    <w:rsid w:val="00087190"/>
    <w:rsid w:val="0009213D"/>
    <w:rsid w:val="00226C73"/>
    <w:rsid w:val="002570D0"/>
    <w:rsid w:val="002E2E42"/>
    <w:rsid w:val="00344FE4"/>
    <w:rsid w:val="003C171D"/>
    <w:rsid w:val="004C0981"/>
    <w:rsid w:val="004D6A9D"/>
    <w:rsid w:val="0053612E"/>
    <w:rsid w:val="00556A7F"/>
    <w:rsid w:val="00564EF0"/>
    <w:rsid w:val="00566B2F"/>
    <w:rsid w:val="00594291"/>
    <w:rsid w:val="005B3577"/>
    <w:rsid w:val="00601B2D"/>
    <w:rsid w:val="00744E2D"/>
    <w:rsid w:val="00801F3B"/>
    <w:rsid w:val="008177BD"/>
    <w:rsid w:val="0087695D"/>
    <w:rsid w:val="008B2956"/>
    <w:rsid w:val="009352D8"/>
    <w:rsid w:val="009A4D4C"/>
    <w:rsid w:val="00A14767"/>
    <w:rsid w:val="00AA6808"/>
    <w:rsid w:val="00B909D0"/>
    <w:rsid w:val="00BD5114"/>
    <w:rsid w:val="00C45257"/>
    <w:rsid w:val="00D061F6"/>
    <w:rsid w:val="00D12805"/>
    <w:rsid w:val="00D34B5B"/>
    <w:rsid w:val="00DD28D0"/>
    <w:rsid w:val="00E54694"/>
    <w:rsid w:val="00E9498F"/>
    <w:rsid w:val="00EF0161"/>
    <w:rsid w:val="00F65182"/>
    <w:rsid w:val="00F87064"/>
    <w:rsid w:val="00F9322E"/>
    <w:rsid w:val="00FD209D"/>
    <w:rsid w:val="00FE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81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35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5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5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5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57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577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061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061F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C09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0981"/>
    <w:pPr>
      <w:spacing w:line="276" w:lineRule="auto"/>
      <w:outlineLvl w:val="9"/>
    </w:pPr>
    <w:rPr>
      <w:lang w:val="en-US" w:eastAsia="ja-JP"/>
    </w:rPr>
  </w:style>
  <w:style w:type="character" w:styleId="Emphasis">
    <w:name w:val="Emphasis"/>
    <w:basedOn w:val="DefaultParagraphFont"/>
    <w:uiPriority w:val="20"/>
    <w:qFormat/>
    <w:rsid w:val="002E2E42"/>
    <w:rPr>
      <w:b/>
      <w:bCs/>
      <w:i w:val="0"/>
      <w:iCs w:val="0"/>
    </w:rPr>
  </w:style>
  <w:style w:type="character" w:customStyle="1" w:styleId="st">
    <w:name w:val="st"/>
    <w:basedOn w:val="DefaultParagraphFont"/>
    <w:rsid w:val="002E2E42"/>
  </w:style>
  <w:style w:type="paragraph" w:styleId="ListParagraph">
    <w:name w:val="List Paragraph"/>
    <w:basedOn w:val="Normal"/>
    <w:uiPriority w:val="34"/>
    <w:qFormat/>
    <w:rsid w:val="00344FE4"/>
    <w:pPr>
      <w:spacing w:after="0" w:line="240" w:lineRule="auto"/>
      <w:ind w:left="720"/>
    </w:pPr>
    <w:rPr>
      <w:rFonts w:ascii="Calibri" w:hAnsi="Calibri" w:cs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B35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5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5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5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57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577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061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D061F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C09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0981"/>
    <w:pPr>
      <w:spacing w:line="276" w:lineRule="auto"/>
      <w:outlineLvl w:val="9"/>
    </w:pPr>
    <w:rPr>
      <w:lang w:val="en-US" w:eastAsia="ja-JP"/>
    </w:rPr>
  </w:style>
  <w:style w:type="character" w:styleId="Emphasis">
    <w:name w:val="Emphasis"/>
    <w:basedOn w:val="DefaultParagraphFont"/>
    <w:uiPriority w:val="20"/>
    <w:qFormat/>
    <w:rsid w:val="002E2E42"/>
    <w:rPr>
      <w:b/>
      <w:bCs/>
      <w:i w:val="0"/>
      <w:iCs w:val="0"/>
    </w:rPr>
  </w:style>
  <w:style w:type="character" w:customStyle="1" w:styleId="st">
    <w:name w:val="st"/>
    <w:basedOn w:val="DefaultParagraphFont"/>
    <w:rsid w:val="002E2E42"/>
  </w:style>
  <w:style w:type="paragraph" w:styleId="ListParagraph">
    <w:name w:val="List Paragraph"/>
    <w:basedOn w:val="Normal"/>
    <w:uiPriority w:val="34"/>
    <w:qFormat/>
    <w:rsid w:val="00344FE4"/>
    <w:pPr>
      <w:spacing w:after="0" w:line="240" w:lineRule="auto"/>
      <w:ind w:left="720"/>
    </w:pPr>
    <w:rPr>
      <w:rFonts w:ascii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hyperlink" Target="http://www.pubfacts.com/author/Saddam+Aref+Al-Dalai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637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Rajiv Sharma</dc:creator>
  <cp:lastModifiedBy>Kerstin Neumann</cp:lastModifiedBy>
  <cp:revision>6</cp:revision>
  <dcterms:created xsi:type="dcterms:W3CDTF">2019-03-08T14:42:00Z</dcterms:created>
  <dcterms:modified xsi:type="dcterms:W3CDTF">2019-03-10T13:47:00Z</dcterms:modified>
</cp:coreProperties>
</file>