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A1" w:rsidRPr="00E91B22" w:rsidRDefault="00A429A1" w:rsidP="00A429A1">
      <w:pPr>
        <w:spacing w:line="48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91B22">
        <w:rPr>
          <w:rFonts w:ascii="Times New Roman" w:hAnsi="Times New Roman" w:cs="Times New Roman"/>
          <w:b/>
          <w:sz w:val="24"/>
          <w:szCs w:val="24"/>
        </w:rPr>
        <w:t>Supplementary Information</w:t>
      </w:r>
      <w:r w:rsidR="004F588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</w:p>
    <w:p w:rsidR="00A429A1" w:rsidRPr="00E91B22" w:rsidRDefault="00B11B32" w:rsidP="00A429A1">
      <w:pPr>
        <w:spacing w:line="48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91B2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Knockout of </w:t>
      </w:r>
      <w:r w:rsidRPr="00E91B22">
        <w:rPr>
          <w:rFonts w:ascii="Times New Roman" w:hAnsi="Times New Roman" w:cs="Times New Roman"/>
          <w:b/>
          <w:bCs/>
          <w:i/>
          <w:kern w:val="0"/>
          <w:sz w:val="24"/>
          <w:szCs w:val="24"/>
        </w:rPr>
        <w:t>SlMAPK3</w:t>
      </w:r>
      <w:r w:rsidRPr="00E91B2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enhances tolerance to heat </w:t>
      </w:r>
      <w:r w:rsidRPr="00E91B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stress</w:t>
      </w:r>
      <w:r w:rsidRPr="00E91B22">
        <w:t xml:space="preserve"> </w:t>
      </w:r>
      <w:r w:rsidRPr="00E91B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involving</w:t>
      </w:r>
      <w:r w:rsidRPr="00E91B2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ROS homeostasis in </w:t>
      </w:r>
      <w:r w:rsidRPr="00E91B22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tomato plants</w:t>
      </w:r>
    </w:p>
    <w:p w:rsidR="00BC35AE" w:rsidRPr="004E51CE" w:rsidRDefault="00BC35AE" w:rsidP="00BC35AE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4E51CE">
        <w:rPr>
          <w:rFonts w:ascii="Times New Roman" w:hAnsi="Times New Roman" w:cs="Times New Roman"/>
          <w:sz w:val="24"/>
          <w:szCs w:val="24"/>
        </w:rPr>
        <w:t>Wenqing Yu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 Liu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</w:t>
      </w:r>
      <w:r w:rsidRPr="004E51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Ruirui Zhao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</w:t>
      </w:r>
      <w:r w:rsidRPr="004E51C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Jiping Sheng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E51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Shujuan Zhang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>, Rui Li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51CE">
        <w:rPr>
          <w:rFonts w:ascii="Times New Roman" w:hAnsi="Times New Roman" w:cs="Times New Roman"/>
          <w:sz w:val="24"/>
          <w:szCs w:val="24"/>
        </w:rPr>
        <w:t>and Lin Shen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BC35AE" w:rsidRPr="006C2248" w:rsidRDefault="00BC35AE" w:rsidP="00BC35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C35AE" w:rsidRPr="004E51CE" w:rsidRDefault="00BC35AE" w:rsidP="00BC35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C2248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4E51CE">
        <w:rPr>
          <w:rFonts w:ascii="Times New Roman" w:hAnsi="Times New Roman" w:cs="Times New Roman"/>
          <w:sz w:val="24"/>
          <w:szCs w:val="24"/>
        </w:rPr>
        <w:t xml:space="preserve"> College of Food Science and Nutritional Engineer</w:t>
      </w:r>
      <w:r w:rsidRPr="00F73D6E">
        <w:rPr>
          <w:rFonts w:ascii="Times New Roman" w:hAnsi="Times New Roman" w:cs="Times New Roman"/>
          <w:sz w:val="24"/>
          <w:szCs w:val="24"/>
        </w:rPr>
        <w:t xml:space="preserve"> </w:t>
      </w:r>
      <w:r w:rsidRPr="00E91B22">
        <w:rPr>
          <w:rFonts w:ascii="Times New Roman" w:hAnsi="Times New Roman" w:cs="Times New Roman"/>
          <w:sz w:val="24"/>
          <w:szCs w:val="24"/>
        </w:rPr>
        <w:t>Engineering</w:t>
      </w:r>
      <w:r w:rsidRPr="004E51CE">
        <w:rPr>
          <w:rFonts w:ascii="Times New Roman" w:hAnsi="Times New Roman" w:cs="Times New Roman"/>
          <w:sz w:val="24"/>
          <w:szCs w:val="24"/>
        </w:rPr>
        <w:t>, China Agricultural University, Beijing 100083, China</w:t>
      </w:r>
    </w:p>
    <w:p w:rsidR="00A429A1" w:rsidRDefault="00BC35AE" w:rsidP="00BC35AE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6C2248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4E51CE">
        <w:rPr>
          <w:rFonts w:ascii="Times New Roman" w:hAnsi="Times New Roman" w:cs="Times New Roman"/>
          <w:sz w:val="24"/>
          <w:szCs w:val="24"/>
        </w:rPr>
        <w:t xml:space="preserve"> School of Agricultural Economics and Rural Development, Renmin University of China, Beijing 100872, China</w:t>
      </w:r>
    </w:p>
    <w:p w:rsidR="00BC35AE" w:rsidRPr="00E91B22" w:rsidRDefault="00BC35AE" w:rsidP="00BC35AE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GoBack"/>
      <w:bookmarkEnd w:id="0"/>
    </w:p>
    <w:p w:rsidR="00A429A1" w:rsidRPr="00E91B22" w:rsidRDefault="00A429A1" w:rsidP="00A429A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 w:rsidRPr="00E91B22">
        <w:rPr>
          <w:rFonts w:ascii="Times New Roman" w:eastAsia="宋体" w:hAnsi="Times New Roman" w:cs="Times New Roman"/>
          <w:sz w:val="24"/>
          <w:szCs w:val="24"/>
        </w:rPr>
        <w:t>* Corresponding Author</w:t>
      </w:r>
    </w:p>
    <w:p w:rsidR="00A02DCF" w:rsidRDefault="00A429A1" w:rsidP="00A429A1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  <w:sectPr w:rsidR="00A02DCF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1B22">
        <w:rPr>
          <w:rFonts w:ascii="Times New Roman" w:eastAsia="宋体" w:hAnsi="Times New Roman" w:cs="Times New Roman"/>
          <w:sz w:val="24"/>
          <w:szCs w:val="24"/>
        </w:rPr>
        <w:t>Lin Shen: Tel: +86-10-62737620; E-mail: shen5000@cau.edu.cn</w:t>
      </w:r>
      <w:r w:rsidRPr="00E91B22"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A429A1" w:rsidRDefault="00A02DCF" w:rsidP="00A02DCF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7452AEB" wp14:editId="595590CE">
            <wp:extent cx="3060000" cy="2700000"/>
            <wp:effectExtent l="0" t="0" r="7620" b="571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3831" w:rsidRPr="00E91B22" w:rsidRDefault="00A02DCF" w:rsidP="00895E2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  <w:sectPr w:rsidR="00D43831" w:rsidRPr="00E91B22" w:rsidSect="003E5B5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1B22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E91B22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E91B2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7561B" w:rsidRPr="002B004D">
        <w:rPr>
          <w:rFonts w:ascii="Times New Roman" w:hAnsi="Times New Roman" w:cs="Times New Roman"/>
          <w:bCs/>
          <w:sz w:val="24"/>
          <w:szCs w:val="24"/>
        </w:rPr>
        <w:t xml:space="preserve">Survival rate of tomato plants described in </w:t>
      </w:r>
      <w:r w:rsidR="0047561B">
        <w:rPr>
          <w:rFonts w:ascii="Times New Roman" w:hAnsi="Times New Roman" w:cs="Times New Roman" w:hint="eastAsia"/>
          <w:bCs/>
          <w:sz w:val="24"/>
          <w:szCs w:val="24"/>
        </w:rPr>
        <w:t>Figure 2</w:t>
      </w:r>
      <w:r w:rsidR="0047561B" w:rsidRPr="002B004D">
        <w:rPr>
          <w:rFonts w:ascii="Times New Roman" w:hAnsi="Times New Roman" w:cs="Times New Roman"/>
          <w:bCs/>
          <w:sz w:val="24"/>
          <w:szCs w:val="24"/>
        </w:rPr>
        <w:t>C</w:t>
      </w:r>
      <w:r w:rsidRPr="00E91B22">
        <w:rPr>
          <w:rFonts w:ascii="Times New Roman" w:eastAsia="Arial Unicode MS" w:hAnsi="Times New Roman" w:cs="Times New Roman"/>
          <w:sz w:val="24"/>
          <w:szCs w:val="24"/>
        </w:rPr>
        <w:t>.</w:t>
      </w:r>
    </w:p>
    <w:p w:rsidR="0014255F" w:rsidRPr="00E91B22" w:rsidRDefault="0014255F" w:rsidP="00A43633">
      <w:pPr>
        <w:suppressLineNumbers/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</w:p>
    <w:sectPr w:rsidR="0014255F" w:rsidRPr="00E91B22" w:rsidSect="00D438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FA1" w:rsidRDefault="009C1FA1" w:rsidP="000E74BE">
      <w:r>
        <w:separator/>
      </w:r>
    </w:p>
  </w:endnote>
  <w:endnote w:type="continuationSeparator" w:id="0">
    <w:p w:rsidR="009C1FA1" w:rsidRDefault="009C1FA1" w:rsidP="000E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42897"/>
      <w:docPartObj>
        <w:docPartGallery w:val="Page Numbers (Bottom of Page)"/>
        <w:docPartUnique/>
      </w:docPartObj>
    </w:sdtPr>
    <w:sdtEndPr/>
    <w:sdtContent>
      <w:p w:rsidR="00835CC1" w:rsidRDefault="00835C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FA1" w:rsidRPr="009C1FA1">
          <w:rPr>
            <w:noProof/>
            <w:lang w:val="zh-CN"/>
          </w:rPr>
          <w:t>1</w:t>
        </w:r>
        <w:r>
          <w:fldChar w:fldCharType="end"/>
        </w:r>
      </w:p>
    </w:sdtContent>
  </w:sdt>
  <w:p w:rsidR="00835CC1" w:rsidRDefault="00835C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FA1" w:rsidRDefault="009C1FA1" w:rsidP="000E74BE">
      <w:r>
        <w:separator/>
      </w:r>
    </w:p>
  </w:footnote>
  <w:footnote w:type="continuationSeparator" w:id="0">
    <w:p w:rsidR="009C1FA1" w:rsidRDefault="009C1FA1" w:rsidP="000E74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61B8296D-B553-4403-ABDC-CBB4A99E4810}" w:val=" ADDIN NE.Ref.{61B8296D-B553-4403-ABDC-CBB4A99E4810}&lt;Citation&gt;&lt;Group&gt;&lt;References&gt;&lt;Item&gt;&lt;ID&gt;1317&lt;/ID&gt;&lt;UID&gt;{F89C1236-BF17-4B57-9B7B-D2B244B9031B}&lt;/UID&gt;&lt;Title&gt;Reactive oxygen species and antioxidant machinery in abiotic stress tolerance in crop plants&lt;/Title&gt;&lt;Template&gt;Journal Article&lt;/Template&gt;&lt;Star&gt;0&lt;/Star&gt;&lt;Tag&gt;0&lt;/Tag&gt;&lt;Author&gt;Gill, Sarvajeet Singh; Tuteja, Narendra&lt;/Author&gt;&lt;Year&gt;2010&lt;/Year&gt;&lt;Details&gt;&lt;_doi&gt;10.1016/j.plaphy.2010.08.016&lt;/_doi&gt;&lt;_created&gt;62546204&lt;/_created&gt;&lt;_modified&gt;62546204&lt;/_modified&gt;&lt;_url&gt;http://linkinghub.elsevier.com/retrieve/pii/S0981942810001798_x000d__x000a_http://api.elsevier.com/content/article/PII:S0981942810001798?httpAccept=text/xml&lt;/_url&gt;&lt;_journal&gt;Plant Physiology and Biochemistry&lt;/_journal&gt;&lt;_volume&gt;48&lt;/_volume&gt;&lt;_issue&gt;12&lt;/_issue&gt;&lt;_pages&gt;909-930&lt;/_pages&gt;&lt;_tertiary_title&gt;Plant Physiology and Biochemistry&lt;/_tertiary_title&gt;&lt;_isbn&gt;09819428&lt;/_isbn&gt;&lt;_accessed&gt;62546204&lt;/_accessed&gt;&lt;_db_updated&gt;CrossRef&lt;/_db_updated&gt;&lt;_impact_factor&gt;   2.718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.Ref{FDCFF4B6-BAEA-43CE-A355-E52204B48C8C}" w:val=" ADDIN NE.Ref.{FDCFF4B6-BAEA-43CE-A355-E52204B48C8C}&lt;Citation&gt;&lt;Group&gt;&lt;References&gt;&lt;Item&gt;&lt;ID&gt;1318&lt;/ID&gt;&lt;UID&gt;{D9460D2A-7FD1-413E-8912-D5608EEA4F1A}&lt;/UID&gt;&lt;Title&gt;Involvement of CAT in the detoxification of HT-induced ROS burst in rice anther and its relation to pollen fertility&lt;/Title&gt;&lt;Template&gt;Journal Article&lt;/Template&gt;&lt;Star&gt;0&lt;/Star&gt;&lt;Tag&gt;0&lt;/Tag&gt;&lt;Author&gt;Zhao, Qian; Zhou, Lujian; Liu, Jianchao; Cao, Zhenzhen; Du, Xiaoxia; Huang, Fudeng; Pan, Gang; Cheng, Fangmin&lt;/Author&gt;&lt;Year&gt;2018&lt;/Year&gt;&lt;Details&gt;&lt;_doi&gt;10.1007/s00299-018-2264-y&lt;/_doi&gt;&lt;_created&gt;62546232&lt;/_created&gt;&lt;_modified&gt;62546232&lt;/_modified&gt;&lt;_url&gt;http://link.springer.com/10.1007/s00299-018-2264-y_x000d__x000a_http://link.springer.com/content/pdf/10.1007/s00299-018-2264-y.pdf&lt;/_url&gt;&lt;_journal&gt;Plant Cell Reports&lt;/_journal&gt;&lt;_volume&gt;37&lt;/_volume&gt;&lt;_issue&gt;5&lt;/_issue&gt;&lt;_pages&gt;741-757&lt;/_pages&gt;&lt;_tertiary_title&gt;Plant Cell Rep&lt;/_tertiary_title&gt;&lt;_isbn&gt;0721-7714&lt;/_isbn&gt;&lt;_accessed&gt;62546232&lt;/_accessed&gt;&lt;_db_updated&gt;CrossRef&lt;/_db_updated&gt;&lt;_impact_factor&gt;   2.989&lt;/_impact_factor&gt;&lt;_collection_scope&gt;SCI;SCIE;&lt;/_collection_scop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Accounts Chemical Research"/>
  </w:docVars>
  <w:rsids>
    <w:rsidRoot w:val="00A429A1"/>
    <w:rsid w:val="00037DAB"/>
    <w:rsid w:val="00040B73"/>
    <w:rsid w:val="00043F6B"/>
    <w:rsid w:val="000860AC"/>
    <w:rsid w:val="000952EF"/>
    <w:rsid w:val="000A3C0B"/>
    <w:rsid w:val="000B6F82"/>
    <w:rsid w:val="000C62CB"/>
    <w:rsid w:val="000E74BE"/>
    <w:rsid w:val="001269D6"/>
    <w:rsid w:val="00136284"/>
    <w:rsid w:val="0014255F"/>
    <w:rsid w:val="00165BD0"/>
    <w:rsid w:val="001728F1"/>
    <w:rsid w:val="0017582A"/>
    <w:rsid w:val="001A629F"/>
    <w:rsid w:val="00204CE7"/>
    <w:rsid w:val="0022365A"/>
    <w:rsid w:val="00262A31"/>
    <w:rsid w:val="002755E1"/>
    <w:rsid w:val="00284B90"/>
    <w:rsid w:val="00297288"/>
    <w:rsid w:val="002D12A8"/>
    <w:rsid w:val="002D571C"/>
    <w:rsid w:val="002E74A5"/>
    <w:rsid w:val="002F2F37"/>
    <w:rsid w:val="002F6C5A"/>
    <w:rsid w:val="0031785B"/>
    <w:rsid w:val="00326869"/>
    <w:rsid w:val="00333454"/>
    <w:rsid w:val="003A16C1"/>
    <w:rsid w:val="003B60B7"/>
    <w:rsid w:val="003C1C9A"/>
    <w:rsid w:val="003D0847"/>
    <w:rsid w:val="003E10EF"/>
    <w:rsid w:val="003E5B54"/>
    <w:rsid w:val="004057E5"/>
    <w:rsid w:val="00426709"/>
    <w:rsid w:val="00442D96"/>
    <w:rsid w:val="0046401A"/>
    <w:rsid w:val="0047561B"/>
    <w:rsid w:val="004C491A"/>
    <w:rsid w:val="004C564E"/>
    <w:rsid w:val="004C6595"/>
    <w:rsid w:val="004D6141"/>
    <w:rsid w:val="004D76CA"/>
    <w:rsid w:val="004F5882"/>
    <w:rsid w:val="0050465D"/>
    <w:rsid w:val="005203C9"/>
    <w:rsid w:val="005243F5"/>
    <w:rsid w:val="00526CE1"/>
    <w:rsid w:val="0053382E"/>
    <w:rsid w:val="005460CC"/>
    <w:rsid w:val="00577653"/>
    <w:rsid w:val="00583554"/>
    <w:rsid w:val="005A0056"/>
    <w:rsid w:val="005A2171"/>
    <w:rsid w:val="005A3246"/>
    <w:rsid w:val="005C5222"/>
    <w:rsid w:val="005C641B"/>
    <w:rsid w:val="00621DEA"/>
    <w:rsid w:val="0066588F"/>
    <w:rsid w:val="0066614F"/>
    <w:rsid w:val="006753F7"/>
    <w:rsid w:val="00686D23"/>
    <w:rsid w:val="006B204C"/>
    <w:rsid w:val="006B5C81"/>
    <w:rsid w:val="006C6413"/>
    <w:rsid w:val="0070213F"/>
    <w:rsid w:val="00707F7E"/>
    <w:rsid w:val="00710495"/>
    <w:rsid w:val="00745B45"/>
    <w:rsid w:val="007500E1"/>
    <w:rsid w:val="00756589"/>
    <w:rsid w:val="0076101C"/>
    <w:rsid w:val="00761A45"/>
    <w:rsid w:val="007A69CA"/>
    <w:rsid w:val="007C43FD"/>
    <w:rsid w:val="00803A5A"/>
    <w:rsid w:val="00835CC1"/>
    <w:rsid w:val="00841532"/>
    <w:rsid w:val="0086757D"/>
    <w:rsid w:val="00895E25"/>
    <w:rsid w:val="00897EB5"/>
    <w:rsid w:val="008B47E8"/>
    <w:rsid w:val="008C1DE9"/>
    <w:rsid w:val="0093133F"/>
    <w:rsid w:val="0094141C"/>
    <w:rsid w:val="00943C1F"/>
    <w:rsid w:val="009517DD"/>
    <w:rsid w:val="00956884"/>
    <w:rsid w:val="009778D7"/>
    <w:rsid w:val="009B466F"/>
    <w:rsid w:val="009C1FA1"/>
    <w:rsid w:val="009C41DF"/>
    <w:rsid w:val="009D7CA2"/>
    <w:rsid w:val="009E4C81"/>
    <w:rsid w:val="009F5F90"/>
    <w:rsid w:val="009F6CC8"/>
    <w:rsid w:val="00A02DCF"/>
    <w:rsid w:val="00A06A02"/>
    <w:rsid w:val="00A33DE8"/>
    <w:rsid w:val="00A404ED"/>
    <w:rsid w:val="00A429A1"/>
    <w:rsid w:val="00A43576"/>
    <w:rsid w:val="00A43633"/>
    <w:rsid w:val="00A84760"/>
    <w:rsid w:val="00A85A9E"/>
    <w:rsid w:val="00AB33C6"/>
    <w:rsid w:val="00B11B32"/>
    <w:rsid w:val="00B36908"/>
    <w:rsid w:val="00B831DE"/>
    <w:rsid w:val="00B83ED8"/>
    <w:rsid w:val="00B95BDA"/>
    <w:rsid w:val="00BA32FB"/>
    <w:rsid w:val="00BB019E"/>
    <w:rsid w:val="00BC35AE"/>
    <w:rsid w:val="00BE03E9"/>
    <w:rsid w:val="00C66D4C"/>
    <w:rsid w:val="00C759C1"/>
    <w:rsid w:val="00C835E8"/>
    <w:rsid w:val="00CB3050"/>
    <w:rsid w:val="00CD436B"/>
    <w:rsid w:val="00CD57E9"/>
    <w:rsid w:val="00CE05BC"/>
    <w:rsid w:val="00CE62FA"/>
    <w:rsid w:val="00D00432"/>
    <w:rsid w:val="00D034EB"/>
    <w:rsid w:val="00D03548"/>
    <w:rsid w:val="00D14590"/>
    <w:rsid w:val="00D43831"/>
    <w:rsid w:val="00D72B38"/>
    <w:rsid w:val="00D8797C"/>
    <w:rsid w:val="00DC3739"/>
    <w:rsid w:val="00DC4C58"/>
    <w:rsid w:val="00DD07E7"/>
    <w:rsid w:val="00DD13C2"/>
    <w:rsid w:val="00E01CF0"/>
    <w:rsid w:val="00E12EA6"/>
    <w:rsid w:val="00E16CF0"/>
    <w:rsid w:val="00E25B22"/>
    <w:rsid w:val="00E40FB9"/>
    <w:rsid w:val="00E42890"/>
    <w:rsid w:val="00E51218"/>
    <w:rsid w:val="00E51633"/>
    <w:rsid w:val="00E54C5E"/>
    <w:rsid w:val="00E6525C"/>
    <w:rsid w:val="00E817BA"/>
    <w:rsid w:val="00E91B22"/>
    <w:rsid w:val="00E94CDB"/>
    <w:rsid w:val="00ED2059"/>
    <w:rsid w:val="00ED5EE1"/>
    <w:rsid w:val="00ED65DA"/>
    <w:rsid w:val="00F10FC5"/>
    <w:rsid w:val="00F2529F"/>
    <w:rsid w:val="00F31C48"/>
    <w:rsid w:val="00F3303D"/>
    <w:rsid w:val="00FB47C3"/>
    <w:rsid w:val="00FC3AAB"/>
    <w:rsid w:val="00FE514A"/>
    <w:rsid w:val="00FE71CF"/>
    <w:rsid w:val="00FF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E25B22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7500E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00E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E7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E74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E7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E74B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85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sid w:val="00E25B22"/>
    <w:rPr>
      <w:color w:val="000000" w:themeColor="text1" w:themeShade="BF"/>
      <w:sz w:val="24"/>
      <w:szCs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7500E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7500E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0E74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E74B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0E74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0E74B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A85A9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5142843137254905"/>
          <c:y val="0.10700518518518519"/>
          <c:w val="0.77480261437908493"/>
          <c:h val="0.77927999999999997"/>
        </c:manualLayout>
      </c:layout>
      <c:barChart>
        <c:barDir val="col"/>
        <c:grouping val="clustered"/>
        <c:varyColors val="0"/>
        <c:ser>
          <c:idx val="0"/>
          <c:order val="0"/>
          <c:tx>
            <c:v>WT</c:v>
          </c:tx>
          <c:spPr>
            <a:solidFill>
              <a:schemeClr val="bg1">
                <a:lumMod val="75000"/>
              </a:schemeClr>
            </a:solidFill>
            <a:ln w="19050">
              <a:solidFill>
                <a:schemeClr val="bg1">
                  <a:lumMod val="75000"/>
                </a:schemeClr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4111111111111111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7.6088445638519489E-17"/>
                  <c:y val="-1.4111111111111111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c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cust"/>
            <c:noEndCap val="0"/>
            <c:plus>
              <c:numRef>
                <c:f>('survival rate'!$I$2,'survival rate'!$I$6)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5</c:v>
                  </c:pt>
                </c:numCache>
              </c:numRef>
            </c:plus>
            <c:minus>
              <c:numRef>
                <c:f>('survival rate'!$I$2,'survival rate'!$I$6)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5</c:v>
                  </c:pt>
                </c:numCache>
              </c:numRef>
            </c:minus>
            <c:spPr>
              <a:ln w="12700">
                <a:solidFill>
                  <a:schemeClr val="tx1"/>
                </a:solidFill>
              </a:ln>
            </c:spPr>
          </c:errBars>
          <c:cat>
            <c:strRef>
              <c:f>株高!$A$14:$A$15</c:f>
              <c:strCache>
                <c:ptCount val="1"/>
                <c:pt idx="0">
                  <c:v>
</c:v>
                </c:pt>
              </c:strCache>
            </c:strRef>
          </c:cat>
          <c:val>
            <c:numRef>
              <c:f>('survival rate'!$H$2,'survival rate'!$H$6)</c:f>
              <c:numCache>
                <c:formatCode>General</c:formatCode>
                <c:ptCount val="2"/>
                <c:pt idx="0">
                  <c:v>100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v>L8</c:v>
          </c:tx>
          <c:spPr>
            <a:solidFill>
              <a:schemeClr val="tx1">
                <a:lumMod val="50000"/>
                <a:lumOff val="50000"/>
              </a:schemeClr>
            </a:solidFill>
            <a:ln w="19050">
              <a:solidFill>
                <a:schemeClr val="tx1">
                  <a:lumMod val="50000"/>
                  <a:lumOff val="50000"/>
                </a:schemeClr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4111111111111111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en-US"/>
                      <a:t>b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cust"/>
            <c:noEndCap val="0"/>
            <c:plus>
              <c:numRef>
                <c:f>('survival rate'!$I$3,'survival rate'!$I$7)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2.8867513459481291</c:v>
                  </c:pt>
                </c:numCache>
              </c:numRef>
            </c:plus>
            <c:minus>
              <c:numRef>
                <c:f>('survival rate'!$I$3,'survival rate'!$I$7)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2.8867513459481291</c:v>
                  </c:pt>
                </c:numCache>
              </c:numRef>
            </c:minus>
            <c:spPr>
              <a:ln w="12700"/>
            </c:spPr>
          </c:errBars>
          <c:cat>
            <c:strRef>
              <c:f>株高!$A$14:$A$15</c:f>
              <c:strCache>
                <c:ptCount val="1"/>
                <c:pt idx="0">
                  <c:v>
</c:v>
                </c:pt>
              </c:strCache>
            </c:strRef>
          </c:cat>
          <c:val>
            <c:numRef>
              <c:f>('survival rate'!$H$3,'survival rate'!$H$7)</c:f>
              <c:numCache>
                <c:formatCode>General</c:formatCode>
                <c:ptCount val="2"/>
                <c:pt idx="0">
                  <c:v>100</c:v>
                </c:pt>
                <c:pt idx="1">
                  <c:v>31.666666666666668</c:v>
                </c:pt>
              </c:numCache>
            </c:numRef>
          </c:val>
        </c:ser>
        <c:ser>
          <c:idx val="2"/>
          <c:order val="2"/>
          <c:tx>
            <c:v>L13</c:v>
          </c:tx>
          <c:spPr>
            <a:solidFill>
              <a:schemeClr val="tx1">
                <a:lumMod val="85000"/>
                <a:lumOff val="15000"/>
              </a:schemeClr>
            </a:solidFill>
            <a:ln w="19050">
              <a:solidFill>
                <a:schemeClr val="tx1">
                  <a:lumMod val="85000"/>
                  <a:lumOff val="15000"/>
                </a:schemeClr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0"/>
                  <c:y val="1.4111111111111111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en-US"/>
                      <a:t>a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CN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errBars>
            <c:errBarType val="both"/>
            <c:errValType val="cust"/>
            <c:noEndCap val="0"/>
            <c:plus>
              <c:numRef>
                <c:f>('survival rate'!$I$4,'survival rate'!$I$8)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2.8867513459481287</c:v>
                  </c:pt>
                </c:numCache>
              </c:numRef>
            </c:plus>
            <c:minus>
              <c:numRef>
                <c:f>('survival rate'!$I$4,'survival rate'!$I$8)</c:f>
                <c:numCache>
                  <c:formatCode>General</c:formatCode>
                  <c:ptCount val="2"/>
                  <c:pt idx="0">
                    <c:v>0</c:v>
                  </c:pt>
                  <c:pt idx="1">
                    <c:v>2.8867513459481287</c:v>
                  </c:pt>
                </c:numCache>
              </c:numRef>
            </c:minus>
          </c:errBars>
          <c:cat>
            <c:strRef>
              <c:f>株高!$A$14:$A$15</c:f>
              <c:strCache>
                <c:ptCount val="1"/>
                <c:pt idx="0">
                  <c:v>
</c:v>
                </c:pt>
              </c:strCache>
            </c:strRef>
          </c:cat>
          <c:val>
            <c:numRef>
              <c:f>('survival rate'!$H$4,'survival rate'!$H$8)</c:f>
              <c:numCache>
                <c:formatCode>General</c:formatCode>
                <c:ptCount val="2"/>
                <c:pt idx="0">
                  <c:v>100</c:v>
                </c:pt>
                <c:pt idx="1">
                  <c:v>41.666666666666664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2923520"/>
        <c:axId val="172947328"/>
      </c:barChart>
      <c:catAx>
        <c:axId val="172923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172947328"/>
        <c:crosses val="autoZero"/>
        <c:auto val="1"/>
        <c:lblAlgn val="ctr"/>
        <c:lblOffset val="100"/>
        <c:noMultiLvlLbl val="0"/>
      </c:catAx>
      <c:valAx>
        <c:axId val="172947328"/>
        <c:scaling>
          <c:orientation val="minMax"/>
          <c:max val="10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altLang="zh-CN" sz="1100" i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Survival rate (%)</a:t>
                </a:r>
              </a:p>
            </c:rich>
          </c:tx>
          <c:layout>
            <c:manualLayout>
              <c:xMode val="edge"/>
              <c:yMode val="edge"/>
              <c:x val="1.0633986928104576E-3"/>
              <c:y val="0.2915862962962962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spPr>
          <a:noFill/>
          <a:ln w="19050">
            <a:solidFill>
              <a:schemeClr val="tx1"/>
            </a:solidFill>
          </a:ln>
        </c:spPr>
        <c:txPr>
          <a:bodyPr/>
          <a:lstStyle/>
          <a:p>
            <a:pPr>
              <a:defRPr sz="10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zh-CN"/>
          </a:p>
        </c:txPr>
        <c:crossAx val="172923520"/>
        <c:crosses val="autoZero"/>
        <c:crossBetween val="between"/>
        <c:majorUnit val="20"/>
      </c:valAx>
    </c:plotArea>
    <c:legend>
      <c:legendPos val="r"/>
      <c:layout>
        <c:manualLayout>
          <c:xMode val="edge"/>
          <c:yMode val="edge"/>
          <c:x val="0.53677549019607851"/>
          <c:y val="1.8062962962962963E-3"/>
          <c:w val="0.45078296296296294"/>
          <c:h val="0.11876410256410257"/>
        </c:manualLayout>
      </c:layout>
      <c:overlay val="0"/>
      <c:txPr>
        <a:bodyPr/>
        <a:lstStyle/>
        <a:p>
          <a:pPr>
            <a:defRPr b="1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zh-CN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0.2594</cdr:x>
      <cdr:y>0.88312</cdr:y>
    </cdr:from>
    <cdr:to>
      <cdr:x>0.9027</cdr:x>
      <cdr:y>0.97837</cdr:y>
    </cdr:to>
    <cdr:grpSp>
      <cdr:nvGrpSpPr>
        <cdr:cNvPr id="5" name="组合 4"/>
        <cdr:cNvGrpSpPr/>
      </cdr:nvGrpSpPr>
      <cdr:grpSpPr>
        <a:xfrm xmlns:a="http://schemas.openxmlformats.org/drawingml/2006/main">
          <a:off x="793750" y="2384425"/>
          <a:ext cx="1968499" cy="257175"/>
          <a:chOff x="-15875" y="41275"/>
          <a:chExt cx="1968499" cy="257175"/>
        </a:xfrm>
      </cdr:grpSpPr>
      <cdr:sp macro="" textlink="">
        <cdr:nvSpPr>
          <cdr:cNvPr id="3" name="TextBox 5"/>
          <cdr:cNvSpPr txBox="1"/>
        </cdr:nvSpPr>
        <cdr:spPr>
          <a:xfrm xmlns:a="http://schemas.openxmlformats.org/drawingml/2006/main">
            <a:off x="-15875" y="41275"/>
            <a:ext cx="609600" cy="247650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9525" cmpd="sng">
            <a:noFill/>
          </a:ln>
        </cdr:spPr>
        <cdr:style>
          <a:lnRef xmlns:a="http://schemas.openxmlformats.org/drawingml/2006/main" idx="0">
            <a:scrgbClr r="0" g="0" b="0"/>
          </a:lnRef>
          <a:fillRef xmlns:a="http://schemas.openxmlformats.org/drawingml/2006/main" idx="0">
            <a:scrgbClr r="0" g="0" b="0"/>
          </a:fillRef>
          <a:effectRef xmlns:a="http://schemas.openxmlformats.org/drawingml/2006/main" idx="0">
            <a:scrgbClr r="0" g="0" b="0"/>
          </a:effectRef>
          <a:fontRef xmlns:a="http://schemas.openxmlformats.org/drawingml/2006/main" idx="minor">
            <a:schemeClr val="dk1"/>
          </a:fontRef>
        </cdr:style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marL="0" marR="0" lvl="0" indent="0" algn="ctr" defTabSz="91440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/>
            </a:pPr>
            <a:r>
              <a:rPr lang="en-US" altLang="zh-CN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25 </a:t>
            </a:r>
            <a:r>
              <a:rPr kumimoji="0" lang="en-US" altLang="zh-CN" sz="1100" b="1" i="0" u="none" strike="noStrike" kern="0" cap="none" spc="0" normalizeH="0" baseline="30000" noProof="0">
                <a:ln>
                  <a:noFill/>
                </a:ln>
                <a:solidFill>
                  <a:prstClr val="black"/>
                </a:solidFill>
                <a:effectLst/>
                <a:uLnTx/>
                <a:uFillTx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o</a:t>
            </a:r>
            <a:r>
              <a:rPr kumimoji="0" lang="en-US" altLang="zh-CN" sz="1100" b="1" i="0" u="none" strike="noStrike" kern="0" cap="none" spc="0" normalizeH="0" baseline="0" noProof="0">
                <a:ln>
                  <a:noFill/>
                </a:ln>
                <a:solidFill>
                  <a:prstClr val="black"/>
                </a:solidFill>
                <a:effectLst/>
                <a:uLnTx/>
                <a:uFillTx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C</a:t>
            </a:r>
            <a:endParaRPr kumimoji="0" lang="zh-CN" altLang="en-US" sz="1600" b="1" i="0" u="none" strike="noStrike" kern="0" cap="none" spc="0" normalizeH="0" baseline="0" noProof="0">
              <a:ln>
                <a:noFill/>
              </a:ln>
              <a:solidFill>
                <a:prstClr val="black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endParaRPr>
          </a:p>
        </cdr:txBody>
      </cdr:sp>
      <cdr:sp macro="" textlink="">
        <cdr:nvSpPr>
          <cdr:cNvPr id="4" name="TextBox 6"/>
          <cdr:cNvSpPr txBox="1"/>
        </cdr:nvSpPr>
        <cdr:spPr>
          <a:xfrm xmlns:a="http://schemas.openxmlformats.org/drawingml/2006/main">
            <a:off x="946149" y="50800"/>
            <a:ext cx="1006475" cy="247650"/>
          </a:xfrm>
          <a:prstGeom xmlns:a="http://schemas.openxmlformats.org/drawingml/2006/main" prst="rect">
            <a:avLst/>
          </a:prstGeom>
          <a:noFill xmlns:a="http://schemas.openxmlformats.org/drawingml/2006/main"/>
          <a:ln xmlns:a="http://schemas.openxmlformats.org/drawingml/2006/main" w="9525" cmpd="sng">
            <a:noFill/>
          </a:ln>
        </cdr:spPr>
        <cdr:style>
          <a:lnRef xmlns:a="http://schemas.openxmlformats.org/drawingml/2006/main" idx="0">
            <a:scrgbClr r="0" g="0" b="0"/>
          </a:lnRef>
          <a:fillRef xmlns:a="http://schemas.openxmlformats.org/drawingml/2006/main" idx="0">
            <a:scrgbClr r="0" g="0" b="0"/>
          </a:fillRef>
          <a:effectRef xmlns:a="http://schemas.openxmlformats.org/drawingml/2006/main" idx="0">
            <a:scrgbClr r="0" g="0" b="0"/>
          </a:effectRef>
          <a:fontRef xmlns:a="http://schemas.openxmlformats.org/drawingml/2006/main" idx="minor">
            <a:schemeClr val="dk1"/>
          </a:fontRef>
        </cdr:style>
        <cdr:txBody>
          <a:bodyPr xmlns:a="http://schemas.openxmlformats.org/drawingml/2006/main" wrap="square" rtlCol="0" anchor="ctr"/>
          <a:lstStyle xmlns:a="http://schemas.openxmlformats.org/drawingml/2006/main">
            <a:lvl1pPr marL="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dk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pPr marL="0" marR="0" lvl="0" indent="0" algn="ctr" defTabSz="91440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/>
            </a:pPr>
            <a:r>
              <a:rPr lang="en-US" altLang="zh-CN" sz="1100" b="1">
                <a:latin typeface="Times New Roman" panose="02020603050405020304" pitchFamily="18" charset="0"/>
                <a:cs typeface="Times New Roman" panose="02020603050405020304" pitchFamily="18" charset="0"/>
              </a:rPr>
              <a:t>42 </a:t>
            </a:r>
            <a:r>
              <a:rPr kumimoji="0" lang="en-US" altLang="zh-CN" sz="1100" b="1" i="0" u="none" strike="noStrike" kern="0" cap="none" spc="0" normalizeH="0" baseline="30000" noProof="0">
                <a:ln>
                  <a:noFill/>
                </a:ln>
                <a:solidFill>
                  <a:prstClr val="black"/>
                </a:solidFill>
                <a:effectLst/>
                <a:uLnTx/>
                <a:uFillTx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o</a:t>
            </a:r>
            <a:r>
              <a:rPr kumimoji="0" lang="en-US" altLang="zh-CN" sz="1100" b="1" i="0" u="none" strike="noStrike" kern="0" cap="none" spc="0" normalizeH="0" baseline="0" noProof="0">
                <a:ln>
                  <a:noFill/>
                </a:ln>
                <a:solidFill>
                  <a:prstClr val="black"/>
                </a:solidFill>
                <a:effectLst/>
                <a:uLnTx/>
                <a:uFillTx/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C for 2 d</a:t>
            </a:r>
            <a:endParaRPr kumimoji="0" lang="zh-CN" altLang="en-US" sz="1600" b="1" i="0" u="none" strike="noStrike" kern="0" cap="none" spc="0" normalizeH="0" baseline="0" noProof="0">
              <a:ln>
                <a:noFill/>
              </a:ln>
              <a:solidFill>
                <a:prstClr val="black"/>
              </a:solidFill>
              <a:effectLst/>
              <a:uLnTx/>
              <a:uFillTx/>
              <a:latin typeface="Times New Roman" panose="02020603050405020304" pitchFamily="18" charset="0"/>
              <a:ea typeface="+mn-ea"/>
              <a:cs typeface="Times New Roman" panose="02020603050405020304" pitchFamily="18" charset="0"/>
            </a:endParaRPr>
          </a:p>
        </cdr:txBody>
      </cdr:sp>
    </cdr:grpSp>
  </cdr:relSizeAnchor>
</c:userShap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1909</TotalTime>
  <Pages>3</Pages>
  <Words>88</Words>
  <Characters>508</Characters>
  <Application>Microsoft Office Word</Application>
  <DocSecurity>0</DocSecurity>
  <Lines>4</Lines>
  <Paragraphs>1</Paragraphs>
  <ScaleCrop>false</ScaleCrop>
  <Company>Sky123.Org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:description>NE.Ref</dc:description>
  <cp:lastModifiedBy>Administrator</cp:lastModifiedBy>
  <cp:revision>139</cp:revision>
  <dcterms:created xsi:type="dcterms:W3CDTF">2018-11-24T03:19:00Z</dcterms:created>
  <dcterms:modified xsi:type="dcterms:W3CDTF">2019-07-07T08:12:00Z</dcterms:modified>
</cp:coreProperties>
</file>