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Times New Roman" w:hAnsi="Times New Roman" w:cs="Times New Roman"/>
          <w:b w:val="0"/>
          <w:bCs w:val="0"/>
          <w:sz w:val="21"/>
          <w:szCs w:val="21"/>
        </w:rPr>
      </w:pPr>
      <w:r>
        <w:rPr>
          <w:rFonts w:hint="default" w:ascii="Times New Roman" w:hAnsi="Times New Roman" w:eastAsia="宋体" w:cs="Times New Roman"/>
          <w:b/>
          <w:bCs/>
          <w:i w:val="0"/>
          <w:color w:val="auto"/>
          <w:kern w:val="0"/>
          <w:sz w:val="21"/>
          <w:szCs w:val="21"/>
          <w:u w:val="none"/>
          <w:lang w:val="en-US" w:eastAsia="zh-CN" w:bidi="ar"/>
        </w:rPr>
        <w:t>Table S1</w:t>
      </w:r>
      <w:bookmarkStart w:id="1" w:name="_GoBack"/>
      <w:bookmarkEnd w:id="1"/>
      <w:r>
        <w:rPr>
          <w:rFonts w:hint="default" w:ascii="Times New Roman" w:hAnsi="Times New Roman" w:eastAsia="宋体" w:cs="Times New Roman"/>
          <w:i w:val="0"/>
          <w:color w:val="auto"/>
          <w:kern w:val="0"/>
          <w:sz w:val="21"/>
          <w:szCs w:val="21"/>
          <w:u w:val="none"/>
          <w:lang w:val="en-US" w:eastAsia="zh-CN" w:bidi="ar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</w:rPr>
        <w:t>Unigenes related to saponin skeleton biosynthesis obtained after three independent biological replicates along with their mean values.</w:t>
      </w:r>
    </w:p>
    <w:tbl>
      <w:tblPr>
        <w:tblStyle w:val="3"/>
        <w:tblW w:w="9778" w:type="dxa"/>
        <w:jc w:val="center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889"/>
        <w:gridCol w:w="1008"/>
        <w:gridCol w:w="810"/>
        <w:gridCol w:w="880"/>
        <w:gridCol w:w="877"/>
        <w:gridCol w:w="892"/>
        <w:gridCol w:w="146"/>
        <w:gridCol w:w="608"/>
        <w:gridCol w:w="171"/>
        <w:gridCol w:w="497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  <w:jc w:val="center"/>
        </w:trPr>
        <w:tc>
          <w:tcPr>
            <w:tcW w:w="3889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Definition</w:t>
            </w:r>
          </w:p>
        </w:tc>
        <w:tc>
          <w:tcPr>
            <w:tcW w:w="1008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Abbreviation</w:t>
            </w:r>
          </w:p>
        </w:tc>
        <w:tc>
          <w:tcPr>
            <w:tcW w:w="810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EC number</w:t>
            </w:r>
          </w:p>
        </w:tc>
        <w:tc>
          <w:tcPr>
            <w:tcW w:w="880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KO assignment</w:t>
            </w:r>
          </w:p>
        </w:tc>
        <w:tc>
          <w:tcPr>
            <w:tcW w:w="877" w:type="dxa"/>
            <w:vMerge w:val="restart"/>
            <w:tcBorders>
              <w:top w:val="single" w:color="000000" w:sz="8" w:space="0"/>
              <w:left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sz w:val="16"/>
                <w:szCs w:val="16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color w:val="auto"/>
                <w:sz w:val="16"/>
                <w:szCs w:val="16"/>
                <w:highlight w:val="none"/>
                <w:u w:val="none"/>
                <w:lang w:val="en-US" w:eastAsia="zh-CN"/>
              </w:rPr>
              <w:t>Number of unigene</w:t>
            </w:r>
          </w:p>
        </w:tc>
        <w:tc>
          <w:tcPr>
            <w:tcW w:w="2314" w:type="dxa"/>
            <w:gridSpan w:val="5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RPKM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" w:hRule="atLeast"/>
          <w:jc w:val="center"/>
        </w:trPr>
        <w:tc>
          <w:tcPr>
            <w:tcW w:w="3889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sz w:val="16"/>
                <w:szCs w:val="16"/>
                <w:highlight w:val="none"/>
                <w:u w:val="none"/>
              </w:rPr>
            </w:pPr>
          </w:p>
        </w:tc>
        <w:tc>
          <w:tcPr>
            <w:tcW w:w="1008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sz w:val="16"/>
                <w:szCs w:val="16"/>
                <w:highlight w:val="none"/>
                <w:u w:val="none"/>
              </w:rPr>
            </w:pPr>
          </w:p>
        </w:tc>
        <w:tc>
          <w:tcPr>
            <w:tcW w:w="810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sz w:val="16"/>
                <w:szCs w:val="16"/>
                <w:highlight w:val="none"/>
                <w:u w:val="none"/>
              </w:rPr>
            </w:pPr>
          </w:p>
        </w:tc>
        <w:tc>
          <w:tcPr>
            <w:tcW w:w="880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sz w:val="16"/>
                <w:szCs w:val="16"/>
                <w:highlight w:val="none"/>
                <w:u w:val="none"/>
              </w:rPr>
            </w:pPr>
          </w:p>
        </w:tc>
        <w:tc>
          <w:tcPr>
            <w:tcW w:w="877" w:type="dxa"/>
            <w:vMerge w:val="continue"/>
            <w:tcBorders>
              <w:left w:val="nil"/>
              <w:bottom w:val="single" w:color="000000" w:sz="8" w:space="0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sz w:val="16"/>
                <w:szCs w:val="16"/>
                <w:highlight w:val="none"/>
                <w:u w:val="none"/>
                <w:lang w:val="en-US" w:eastAsia="zh-CN"/>
              </w:rPr>
            </w:pPr>
          </w:p>
        </w:tc>
        <w:tc>
          <w:tcPr>
            <w:tcW w:w="1038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161" w:firstLineChars="10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Root</w:t>
            </w:r>
          </w:p>
        </w:tc>
        <w:tc>
          <w:tcPr>
            <w:tcW w:w="779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Stem</w:t>
            </w:r>
          </w:p>
        </w:tc>
        <w:tc>
          <w:tcPr>
            <w:tcW w:w="497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L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eaf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  <w:jc w:val="center"/>
        </w:trPr>
        <w:tc>
          <w:tcPr>
            <w:tcW w:w="3889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Acetyl-CoA acetyltransferase</w:t>
            </w:r>
          </w:p>
        </w:tc>
        <w:tc>
          <w:tcPr>
            <w:tcW w:w="1008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AACT</w:t>
            </w:r>
          </w:p>
        </w:tc>
        <w:tc>
          <w:tcPr>
            <w:tcW w:w="810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2.3.1.9</w:t>
            </w:r>
          </w:p>
        </w:tc>
        <w:tc>
          <w:tcPr>
            <w:tcW w:w="880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K00626</w:t>
            </w:r>
          </w:p>
        </w:tc>
        <w:tc>
          <w:tcPr>
            <w:tcW w:w="877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892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6"/>
                <w:szCs w:val="16"/>
                <w:highlight w:val="none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15.84</w:t>
            </w:r>
          </w:p>
        </w:tc>
        <w:tc>
          <w:tcPr>
            <w:tcW w:w="754" w:type="dxa"/>
            <w:gridSpan w:val="2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6"/>
                <w:szCs w:val="16"/>
                <w:highlight w:val="none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17.08</w:t>
            </w:r>
          </w:p>
        </w:tc>
        <w:tc>
          <w:tcPr>
            <w:tcW w:w="668" w:type="dxa"/>
            <w:gridSpan w:val="2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6"/>
                <w:szCs w:val="16"/>
                <w:highlight w:val="none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23.52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  <w:jc w:val="center"/>
        </w:trPr>
        <w:tc>
          <w:tcPr>
            <w:tcW w:w="3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Hydroxymethyl glutaryl CoA synthase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HMGS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2.3.3.10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K01641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221.75</w:t>
            </w:r>
          </w:p>
        </w:tc>
        <w:tc>
          <w:tcPr>
            <w:tcW w:w="7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97.63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132.32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  <w:jc w:val="center"/>
        </w:trPr>
        <w:tc>
          <w:tcPr>
            <w:tcW w:w="3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6"/>
                <w:szCs w:val="16"/>
                <w:highlight w:val="none"/>
                <w:u w:val="none"/>
              </w:rPr>
            </w:pPr>
            <w:bookmarkStart w:id="0" w:name="OLE_LINK3"/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Hydroxymethyl gutryl CoA reductase</w:t>
            </w:r>
            <w:bookmarkEnd w:id="0"/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HMGR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1.1.1.34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K00021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6"/>
                <w:szCs w:val="16"/>
                <w:highlight w:val="none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65.35</w:t>
            </w:r>
          </w:p>
        </w:tc>
        <w:tc>
          <w:tcPr>
            <w:tcW w:w="7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6"/>
                <w:szCs w:val="16"/>
                <w:highlight w:val="none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44.23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6"/>
                <w:szCs w:val="16"/>
                <w:highlight w:val="none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155.89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  <w:jc w:val="center"/>
        </w:trPr>
        <w:tc>
          <w:tcPr>
            <w:tcW w:w="3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Mevalonate kinase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MVK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2.7.1.36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K00869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6"/>
                <w:szCs w:val="16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23.1</w:t>
            </w: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</w:t>
            </w:r>
          </w:p>
        </w:tc>
        <w:tc>
          <w:tcPr>
            <w:tcW w:w="7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16.70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9.78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  <w:jc w:val="center"/>
        </w:trPr>
        <w:tc>
          <w:tcPr>
            <w:tcW w:w="3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Phosphomevalonate kinase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PMK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2.7.4.2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K00938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6.37</w:t>
            </w:r>
          </w:p>
        </w:tc>
        <w:tc>
          <w:tcPr>
            <w:tcW w:w="7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7.47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7.46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  <w:jc w:val="center"/>
        </w:trPr>
        <w:tc>
          <w:tcPr>
            <w:tcW w:w="3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Diphosphosphate decarboxylase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MVD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4.1.1.33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K01597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77.61</w:t>
            </w:r>
          </w:p>
        </w:tc>
        <w:tc>
          <w:tcPr>
            <w:tcW w:w="7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56.83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82.77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  <w:jc w:val="center"/>
        </w:trPr>
        <w:tc>
          <w:tcPr>
            <w:tcW w:w="3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Isopentenyl pyrophosphate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IDI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5.3.3.2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K01823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60.12</w:t>
            </w:r>
          </w:p>
        </w:tc>
        <w:tc>
          <w:tcPr>
            <w:tcW w:w="7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71.54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109.80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  <w:jc w:val="center"/>
        </w:trPr>
        <w:tc>
          <w:tcPr>
            <w:tcW w:w="3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1-deoxy-D-xylulose-5-phosphate synthase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DXS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2.2.1.7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instrText xml:space="preserve"> HYPERLINK "http://www.genome.jp/dbget-bin/www_bget?ko:K01662" \o "http://www.genome.jp/dbget-bin/www_bget?ko:K01662" </w:instrTex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fldChar w:fldCharType="separate"/>
            </w:r>
            <w:r>
              <w:rPr>
                <w:rStyle w:val="5"/>
                <w:rFonts w:hint="default" w:ascii="Times New Roman" w:hAnsi="Times New Roman" w:eastAsia="宋体" w:cs="Times New Roman"/>
                <w:i w:val="0"/>
                <w:color w:val="auto"/>
                <w:sz w:val="16"/>
                <w:szCs w:val="16"/>
                <w:highlight w:val="none"/>
                <w:u w:val="none"/>
              </w:rPr>
              <w:t>K01662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59.1</w:t>
            </w:r>
          </w:p>
        </w:tc>
        <w:tc>
          <w:tcPr>
            <w:tcW w:w="7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37.93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202.45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  <w:jc w:val="center"/>
        </w:trPr>
        <w:tc>
          <w:tcPr>
            <w:tcW w:w="3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1-deoxy-D-xylulose-5-phosphate reductoisomerase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DXR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1.1.1.267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K00099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32.47</w:t>
            </w:r>
          </w:p>
        </w:tc>
        <w:tc>
          <w:tcPr>
            <w:tcW w:w="7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32.40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83.07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  <w:jc w:val="center"/>
        </w:trPr>
        <w:tc>
          <w:tcPr>
            <w:tcW w:w="3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2-C-methyl-D-erythritol 4-phosphate cytidylyltransferase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MEP-CT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2.7.7.60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K00991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3.07</w:t>
            </w:r>
          </w:p>
        </w:tc>
        <w:tc>
          <w:tcPr>
            <w:tcW w:w="7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3.04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13.67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  <w:jc w:val="center"/>
        </w:trPr>
        <w:tc>
          <w:tcPr>
            <w:tcW w:w="3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4-diphosphocytidyl-2-C-methyl-D-erythritol kinase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CDP-MEK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2.7.1.148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K00919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51.44</w:t>
            </w:r>
          </w:p>
        </w:tc>
        <w:tc>
          <w:tcPr>
            <w:tcW w:w="7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40.69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88.36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  <w:jc w:val="center"/>
        </w:trPr>
        <w:tc>
          <w:tcPr>
            <w:tcW w:w="3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2-C-methyl-D-erythritol 2,4-cyclodiphosphate synthase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MECDPS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4.6.1.12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K01770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10.22</w:t>
            </w:r>
          </w:p>
        </w:tc>
        <w:tc>
          <w:tcPr>
            <w:tcW w:w="7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21.11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116.55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  <w:jc w:val="center"/>
        </w:trPr>
        <w:tc>
          <w:tcPr>
            <w:tcW w:w="3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(E)-4-hydroxy-3-methylbut-2-enyl-diphosphate synthase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HMBPPS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1.17.7.1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K03526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93.95</w:t>
            </w:r>
          </w:p>
        </w:tc>
        <w:tc>
          <w:tcPr>
            <w:tcW w:w="7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81.99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203.64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  <w:jc w:val="center"/>
        </w:trPr>
        <w:tc>
          <w:tcPr>
            <w:tcW w:w="3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4-hydroxy-3-methylbut-2-en-1-yl diphosphate reductase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HMBPPR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1.17.1.2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K03527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40.91</w:t>
            </w:r>
          </w:p>
        </w:tc>
        <w:tc>
          <w:tcPr>
            <w:tcW w:w="7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39.29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97.87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  <w:jc w:val="center"/>
        </w:trPr>
        <w:tc>
          <w:tcPr>
            <w:tcW w:w="3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Geranyl diphosphate synthase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GPS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2.5.1.29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K14066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6"/>
                <w:szCs w:val="16"/>
                <w:highlight w:val="none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23.61</w:t>
            </w:r>
          </w:p>
        </w:tc>
        <w:tc>
          <w:tcPr>
            <w:tcW w:w="7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6"/>
                <w:szCs w:val="16"/>
                <w:highlight w:val="none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20.70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6"/>
                <w:szCs w:val="16"/>
                <w:highlight w:val="none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78.77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  <w:jc w:val="center"/>
        </w:trPr>
        <w:tc>
          <w:tcPr>
            <w:tcW w:w="3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Farnesyl diphosphate synthase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FPS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2.5.1.10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K00787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6"/>
                <w:szCs w:val="16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39.5</w:t>
            </w: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</w:t>
            </w:r>
          </w:p>
        </w:tc>
        <w:tc>
          <w:tcPr>
            <w:tcW w:w="7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54.22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91.58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  <w:jc w:val="center"/>
        </w:trPr>
        <w:tc>
          <w:tcPr>
            <w:tcW w:w="3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Squalene synthase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SS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2.5.1.21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K00801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123.13</w:t>
            </w:r>
          </w:p>
        </w:tc>
        <w:tc>
          <w:tcPr>
            <w:tcW w:w="7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129.64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75.55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  <w:jc w:val="center"/>
        </w:trPr>
        <w:tc>
          <w:tcPr>
            <w:tcW w:w="3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Squalene monooxygenase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SE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1.14.14.17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instrText xml:space="preserve"> HYPERLINK "http://www.genome.jp/dbget-bin/www_bget?ko:K00511target=_blank" \o "http://www.genome.jp/dbget-bin/www_bget?ko:K00511target=_blank" </w:instrTex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fldChar w:fldCharType="separate"/>
            </w:r>
            <w:r>
              <w:rPr>
                <w:rStyle w:val="5"/>
                <w:rFonts w:hint="default" w:ascii="Times New Roman" w:hAnsi="Times New Roman" w:eastAsia="宋体" w:cs="Times New Roman"/>
                <w:i w:val="0"/>
                <w:color w:val="auto"/>
                <w:sz w:val="16"/>
                <w:szCs w:val="16"/>
                <w:highlight w:val="none"/>
                <w:u w:val="none"/>
              </w:rPr>
              <w:t>K00511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14.43</w:t>
            </w:r>
          </w:p>
        </w:tc>
        <w:tc>
          <w:tcPr>
            <w:tcW w:w="7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36.36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78.45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  <w:jc w:val="center"/>
        </w:trPr>
        <w:tc>
          <w:tcPr>
            <w:tcW w:w="3889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β-amyrin synthase</w:t>
            </w:r>
          </w:p>
        </w:tc>
        <w:tc>
          <w:tcPr>
            <w:tcW w:w="1008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bAS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5.4.99.39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instrText xml:space="preserve"> HYPERLINK "http://www.genome.jp/dbget-bin/www_bget?ko:K15813" \o "http://www.genome.jp/dbget-bin/www_bget?ko:K15813" </w:instrTex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fldChar w:fldCharType="separate"/>
            </w:r>
            <w:r>
              <w:rPr>
                <w:rStyle w:val="5"/>
                <w:rFonts w:hint="default" w:ascii="Times New Roman" w:hAnsi="Times New Roman" w:eastAsia="宋体" w:cs="Times New Roman"/>
                <w:i w:val="0"/>
                <w:color w:val="auto"/>
                <w:sz w:val="16"/>
                <w:szCs w:val="16"/>
                <w:highlight w:val="none"/>
                <w:u w:val="none"/>
              </w:rPr>
              <w:t>K15813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877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13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6"/>
                <w:szCs w:val="16"/>
                <w:highlight w:val="none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30.14</w:t>
            </w:r>
          </w:p>
        </w:tc>
        <w:tc>
          <w:tcPr>
            <w:tcW w:w="754" w:type="dxa"/>
            <w:gridSpan w:val="2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6"/>
                <w:szCs w:val="16"/>
                <w:highlight w:val="none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52.65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6"/>
                <w:szCs w:val="16"/>
                <w:highlight w:val="none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88.46</w:t>
            </w:r>
          </w:p>
        </w:tc>
      </w:tr>
    </w:tbl>
    <w:p/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cript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FC7824"/>
    <w:rsid w:val="034210C0"/>
    <w:rsid w:val="186F6A9A"/>
    <w:rsid w:val="1C4B2159"/>
    <w:rsid w:val="260E4041"/>
    <w:rsid w:val="3FC074AB"/>
    <w:rsid w:val="475E7F1C"/>
    <w:rsid w:val="776A138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 w:val="0"/>
      <w:spacing w:before="0" w:beforeAutospacing="1" w:after="0" w:afterAutospacing="1"/>
      <w:ind w:left="0" w:right="0"/>
      <w:jc w:val="left"/>
    </w:pPr>
    <w:rPr>
      <w:rFonts w:asciiTheme="minorHAnsi" w:hAnsiTheme="minorHAnsi" w:eastAsiaTheme="minorEastAsia" w:cstheme="minorBidi"/>
      <w:kern w:val="0"/>
      <w:sz w:val="24"/>
      <w:szCs w:val="24"/>
      <w:lang w:val="en-US" w:eastAsia="zh-CN" w:bidi="ar"/>
    </w:rPr>
  </w:style>
  <w:style w:type="character" w:styleId="5">
    <w:name w:val="Hyperlink"/>
    <w:basedOn w:val="4"/>
    <w:qFormat/>
    <w:uiPriority w:val="0"/>
    <w:rPr>
      <w:color w:val="0000FF"/>
      <w:u w:val="single"/>
    </w:rPr>
  </w:style>
  <w:style w:type="paragraph" w:customStyle="1" w:styleId="6">
    <w:name w:val="标题 11"/>
    <w:basedOn w:val="1"/>
    <w:qFormat/>
    <w:uiPriority w:val="0"/>
    <w:pPr>
      <w:spacing w:before="100" w:beforeAutospacing="1" w:after="100" w:afterAutospacing="1" w:line="480" w:lineRule="auto"/>
      <w:outlineLvl w:val="0"/>
    </w:pPr>
    <w:rPr>
      <w:rFonts w:ascii="Times New Roman" w:hAnsi="Times New Roman" w:cs="Times New Roman"/>
      <w:b/>
      <w:bCs/>
      <w:sz w:val="28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91</TotalTime>
  <ScaleCrop>false</ScaleCrop>
  <LinksUpToDate>false</LinksUpToDate>
  <CharactersWithSpaces>0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程瑶</dc:creator>
  <cp:lastModifiedBy>程程</cp:lastModifiedBy>
  <dcterms:modified xsi:type="dcterms:W3CDTF">2020-03-28T03:12:11Z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