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D6" w:rsidRDefault="00C312D6" w:rsidP="00C312D6">
      <w:pPr>
        <w:spacing w:line="240" w:lineRule="auto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w:drawing>
          <wp:inline distT="0" distB="0" distL="0" distR="0">
            <wp:extent cx="3225800" cy="3517265"/>
            <wp:effectExtent l="0" t="0" r="0" b="6985"/>
            <wp:docPr id="3" name="Picture 3" descr="F:\Paper\GhCIPK\文章稿件整理\20200216 BMC plant biology\Fig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F:\Paper\GhCIPK\文章稿件整理\20200216 BMC plant biology\Fig S5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2D6" w:rsidRDefault="00C312D6" w:rsidP="00C312D6">
      <w:pPr>
        <w:spacing w:line="360" w:lineRule="auto"/>
        <w:jc w:val="both"/>
      </w:pPr>
      <w:r w:rsidRPr="00081A7C">
        <w:rPr>
          <w:b/>
        </w:rPr>
        <w:t xml:space="preserve">Additional file 10 Figure S5. </w:t>
      </w:r>
      <w:r w:rsidRPr="00646597">
        <w:t>The germination performance of transgenic lines (OE1 and OE2) and wild type line (WT) under salt treatment (</w:t>
      </w:r>
      <w:proofErr w:type="spellStart"/>
      <w:r w:rsidRPr="00646597">
        <w:t>NaCl</w:t>
      </w:r>
      <w:proofErr w:type="spellEnd"/>
      <w:r w:rsidRPr="00646597">
        <w:t>) and control (CK) conditions</w:t>
      </w:r>
      <w:r>
        <w:rPr>
          <w:rFonts w:hint="eastAsia"/>
        </w:rPr>
        <w:t xml:space="preserve">. </w:t>
      </w:r>
      <w:r w:rsidRPr="00646597">
        <w:t>Bar = 1 cm.</w:t>
      </w:r>
    </w:p>
    <w:p w:rsidR="00CF1813" w:rsidRPr="00C312D6" w:rsidRDefault="00CF1813" w:rsidP="00C312D6">
      <w:bookmarkStart w:id="0" w:name="_GoBack"/>
      <w:bookmarkEnd w:id="0"/>
    </w:p>
    <w:sectPr w:rsidR="00CF1813" w:rsidRPr="00C31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D2"/>
    <w:rsid w:val="00060B88"/>
    <w:rsid w:val="008220D2"/>
    <w:rsid w:val="00C312D6"/>
    <w:rsid w:val="00CF1813"/>
    <w:rsid w:val="00DE13C1"/>
    <w:rsid w:val="00EA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2020-07-13T08:09:00Z</dcterms:created>
  <dcterms:modified xsi:type="dcterms:W3CDTF">2020-07-13T08:09:00Z</dcterms:modified>
</cp:coreProperties>
</file>