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147" w:rsidRDefault="009E4147" w:rsidP="009E4147">
      <w:pPr>
        <w:spacing w:line="480" w:lineRule="auto"/>
        <w:jc w:val="both"/>
        <w:rPr>
          <w:rFonts w:ascii="Times New Roman" w:eastAsia="等线" w:hAnsi="Times New Roman"/>
          <w:szCs w:val="21"/>
        </w:rPr>
      </w:pPr>
    </w:p>
    <w:p w:rsidR="009E4147" w:rsidRDefault="009E4147" w:rsidP="009E4147">
      <w:pPr>
        <w:spacing w:line="480" w:lineRule="auto"/>
        <w:jc w:val="both"/>
        <w:rPr>
          <w:rFonts w:ascii="Times New Roman" w:eastAsia="等线" w:hAnsi="Times New Roman"/>
          <w:szCs w:val="21"/>
        </w:rPr>
      </w:pPr>
      <w:r>
        <w:rPr>
          <w:noProof/>
        </w:rPr>
        <w:drawing>
          <wp:inline distT="0" distB="0" distL="0" distR="0" wp14:anchorId="0F5548B4" wp14:editId="55D2E8A5">
            <wp:extent cx="4163878" cy="3699164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066" cy="370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147" w:rsidRDefault="009E4147" w:rsidP="009E4147">
      <w:pPr>
        <w:spacing w:line="480" w:lineRule="auto"/>
        <w:jc w:val="both"/>
        <w:rPr>
          <w:rFonts w:ascii="Times New Roman" w:eastAsia="等线" w:hAnsi="Times New Roman"/>
          <w:szCs w:val="21"/>
        </w:rPr>
      </w:pPr>
      <w:bookmarkStart w:id="0" w:name="_GoBack"/>
      <w:bookmarkEnd w:id="0"/>
    </w:p>
    <w:p w:rsidR="009E4147" w:rsidRDefault="009E4147" w:rsidP="009E4147">
      <w:pPr>
        <w:spacing w:line="480" w:lineRule="auto"/>
        <w:jc w:val="both"/>
        <w:rPr>
          <w:rFonts w:ascii="Times New Roman" w:eastAsia="等线" w:hAnsi="Times New Roman"/>
          <w:szCs w:val="21"/>
        </w:rPr>
      </w:pPr>
      <w:proofErr w:type="gramStart"/>
      <w:r w:rsidRPr="000E31DF">
        <w:rPr>
          <w:rFonts w:ascii="Times New Roman" w:eastAsia="等线" w:hAnsi="Times New Roman"/>
          <w:szCs w:val="21"/>
        </w:rPr>
        <w:t>Supplementary</w:t>
      </w:r>
      <w:r w:rsidRPr="00E00067">
        <w:rPr>
          <w:rFonts w:ascii="Times New Roman" w:eastAsia="等线" w:hAnsi="Times New Roman"/>
          <w:szCs w:val="21"/>
        </w:rPr>
        <w:t xml:space="preserve"> Figure </w:t>
      </w:r>
      <w:r>
        <w:rPr>
          <w:rFonts w:ascii="Times New Roman" w:eastAsia="等线" w:hAnsi="Times New Roman"/>
          <w:szCs w:val="21"/>
        </w:rPr>
        <w:t>7.</w:t>
      </w:r>
      <w:proofErr w:type="gramEnd"/>
      <w:r>
        <w:rPr>
          <w:rFonts w:ascii="Times New Roman" w:eastAsia="等线" w:hAnsi="Times New Roman"/>
          <w:szCs w:val="21"/>
        </w:rPr>
        <w:t xml:space="preserve"> </w:t>
      </w:r>
      <w:r w:rsidRPr="00C341DD">
        <w:rPr>
          <w:rFonts w:ascii="Times New Roman" w:eastAsia="等线" w:hAnsi="Times New Roman"/>
          <w:szCs w:val="21"/>
        </w:rPr>
        <w:t xml:space="preserve">The number of identified SAUR genes </w:t>
      </w:r>
      <w:r>
        <w:rPr>
          <w:rFonts w:ascii="Times New Roman" w:eastAsia="等线" w:hAnsi="Times New Roman"/>
          <w:szCs w:val="21"/>
        </w:rPr>
        <w:t xml:space="preserve">from </w:t>
      </w:r>
      <w:r w:rsidRPr="00565111">
        <w:rPr>
          <w:rFonts w:ascii="Times New Roman" w:eastAsia="等线" w:hAnsi="Times New Roman"/>
          <w:szCs w:val="21"/>
        </w:rPr>
        <w:t xml:space="preserve">genome annotated </w:t>
      </w:r>
      <w:r w:rsidRPr="00C341DD">
        <w:rPr>
          <w:rFonts w:ascii="Times New Roman" w:eastAsia="等线" w:hAnsi="Times New Roman"/>
          <w:szCs w:val="21"/>
        </w:rPr>
        <w:t xml:space="preserve">monocotyledons and </w:t>
      </w:r>
      <w:proofErr w:type="spellStart"/>
      <w:r w:rsidRPr="00C341DD">
        <w:rPr>
          <w:rFonts w:ascii="Times New Roman" w:eastAsia="等线" w:hAnsi="Times New Roman"/>
          <w:szCs w:val="21"/>
        </w:rPr>
        <w:t>dicotyledons</w:t>
      </w:r>
      <w:proofErr w:type="spellEnd"/>
      <w:r>
        <w:rPr>
          <w:rFonts w:ascii="Times New Roman" w:eastAsia="等线" w:hAnsi="Times New Roman"/>
          <w:szCs w:val="21"/>
        </w:rPr>
        <w:t xml:space="preserve">. </w:t>
      </w:r>
      <w:proofErr w:type="gramStart"/>
      <w:r>
        <w:rPr>
          <w:rFonts w:ascii="Times New Roman" w:eastAsia="等线" w:hAnsi="Times New Roman"/>
          <w:szCs w:val="21"/>
        </w:rPr>
        <w:t>These contains</w:t>
      </w:r>
      <w:proofErr w:type="gramEnd"/>
      <w:r>
        <w:rPr>
          <w:rFonts w:ascii="Times New Roman" w:eastAsia="等线" w:hAnsi="Times New Roman"/>
          <w:szCs w:val="21"/>
        </w:rPr>
        <w:t xml:space="preserve"> our results and others. The reference list is: </w:t>
      </w:r>
    </w:p>
    <w:p w:rsidR="009E4147" w:rsidRDefault="009E4147" w:rsidP="009E4147">
      <w:pPr>
        <w:rPr>
          <w:rFonts w:ascii="Times New Roman" w:eastAsia="Arial Unicode MS" w:hAnsi="Times New Roman"/>
          <w:iCs/>
        </w:rPr>
      </w:pPr>
    </w:p>
    <w:p w:rsidR="009E4147" w:rsidRPr="00961023" w:rsidRDefault="009E4147" w:rsidP="009E4147">
      <w:pPr>
        <w:pStyle w:val="EndNoteBibliography"/>
        <w:ind w:left="720" w:hanging="720"/>
        <w:jc w:val="both"/>
        <w:rPr>
          <w:rFonts w:ascii="Times New Roman" w:hAnsi="Times New Roman" w:cs="Times New Roman"/>
          <w:noProof/>
          <w:szCs w:val="21"/>
        </w:rPr>
      </w:pPr>
      <w:r w:rsidRPr="00961023">
        <w:rPr>
          <w:rFonts w:ascii="Times New Roman" w:hAnsi="Times New Roman" w:cs="Times New Roman"/>
          <w:noProof/>
          <w:szCs w:val="21"/>
        </w:rPr>
        <w:t>Bai, Q., Hou, D., Li, L., Cheng, Z., Ge, W., Liu, J., Li, X., Mu, S. and Gao, J., 2017. Genome-wide analysis and expression characteristics of small auxin-up RNA (</w:t>
      </w:r>
      <w:r w:rsidRPr="00961023">
        <w:rPr>
          <w:rFonts w:ascii="Times New Roman" w:hAnsi="Times New Roman" w:cs="Times New Roman"/>
          <w:i/>
          <w:iCs/>
          <w:noProof/>
          <w:szCs w:val="21"/>
        </w:rPr>
        <w:t>SAUR</w:t>
      </w:r>
      <w:r w:rsidRPr="00961023">
        <w:rPr>
          <w:rFonts w:ascii="Times New Roman" w:hAnsi="Times New Roman" w:cs="Times New Roman"/>
          <w:noProof/>
          <w:szCs w:val="21"/>
        </w:rPr>
        <w:t>) genes in moso bamboo (</w:t>
      </w:r>
      <w:r w:rsidRPr="00961023">
        <w:rPr>
          <w:rFonts w:ascii="Times New Roman" w:hAnsi="Times New Roman" w:cs="Times New Roman"/>
          <w:i/>
          <w:iCs/>
          <w:noProof/>
          <w:szCs w:val="21"/>
        </w:rPr>
        <w:t>Phyllostachys edulis</w:t>
      </w:r>
      <w:r w:rsidRPr="00961023">
        <w:rPr>
          <w:rFonts w:ascii="Times New Roman" w:hAnsi="Times New Roman" w:cs="Times New Roman"/>
          <w:noProof/>
          <w:szCs w:val="21"/>
        </w:rPr>
        <w:t>). Genome 60, 325-336.</w:t>
      </w:r>
    </w:p>
    <w:p w:rsidR="009E4147" w:rsidRPr="0068688D" w:rsidRDefault="009E4147" w:rsidP="009E4147">
      <w:pPr>
        <w:ind w:left="720" w:hanging="720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68688D">
        <w:rPr>
          <w:rFonts w:ascii="Times New Roman" w:hAnsi="Times New Roman" w:cs="Times New Roman"/>
          <w:noProof/>
          <w:sz w:val="21"/>
          <w:szCs w:val="21"/>
        </w:rPr>
        <w:t>Huang, X., Bao, Y.N., Wang, B., Liu, L.J., Chen, J., Dai, L.J., Baloch, S.U. and Peng, D.X., 2016. Identification of small auxin-up RNA (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SAUR</w:t>
      </w:r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) genes in 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Urticales</w:t>
      </w:r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 plants: mulberry (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Morus notabilis</w:t>
      </w:r>
      <w:r w:rsidRPr="0068688D">
        <w:rPr>
          <w:rFonts w:ascii="Times New Roman" w:hAnsi="Times New Roman" w:cs="Times New Roman"/>
          <w:noProof/>
          <w:sz w:val="21"/>
          <w:szCs w:val="21"/>
        </w:rPr>
        <w:t>), hemp (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Cannabis sativa</w:t>
      </w:r>
      <w:r w:rsidRPr="0068688D">
        <w:rPr>
          <w:rFonts w:ascii="Times New Roman" w:hAnsi="Times New Roman" w:cs="Times New Roman"/>
          <w:noProof/>
          <w:sz w:val="21"/>
          <w:szCs w:val="21"/>
        </w:rPr>
        <w:t>) and ramie (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Boehmeria nivea</w:t>
      </w:r>
      <w:r w:rsidRPr="0068688D">
        <w:rPr>
          <w:rFonts w:ascii="Times New Roman" w:hAnsi="Times New Roman" w:cs="Times New Roman"/>
          <w:noProof/>
          <w:sz w:val="21"/>
          <w:szCs w:val="21"/>
        </w:rPr>
        <w:t>). Journal of Genetics 95, 119-129.</w:t>
      </w:r>
    </w:p>
    <w:p w:rsidR="009E4147" w:rsidRPr="0068688D" w:rsidRDefault="009E4147" w:rsidP="009E4147">
      <w:pPr>
        <w:ind w:left="720" w:hanging="720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68688D">
        <w:rPr>
          <w:rFonts w:ascii="Times New Roman" w:hAnsi="Times New Roman" w:cs="Times New Roman"/>
          <w:noProof/>
          <w:sz w:val="21"/>
          <w:szCs w:val="21"/>
        </w:rPr>
        <w:t>Li, X., Liu, G., Geng, Y., Wu, M., Pei, W., Zhai, H., Zang, X., Li, X., Zhang, J., Yu, S. and Yu, J., 2017. A genome-wide analysis of the small auxin-up RNA (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SAUR</w:t>
      </w:r>
      <w:r w:rsidRPr="0068688D">
        <w:rPr>
          <w:rFonts w:ascii="Times New Roman" w:hAnsi="Times New Roman" w:cs="Times New Roman"/>
          <w:noProof/>
          <w:sz w:val="21"/>
          <w:szCs w:val="21"/>
        </w:rPr>
        <w:t>) gene family in cotton. BMC Genomics 18, 815.</w:t>
      </w:r>
    </w:p>
    <w:p w:rsidR="009E4147" w:rsidRPr="0068688D" w:rsidRDefault="009E4147" w:rsidP="009E4147">
      <w:pPr>
        <w:ind w:left="720" w:hanging="720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Nakano, T., Suzuki, K., Fujimura, T. and Shinshi, H., 2006. Genome-wide analysis of the ERF gene family in 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Arabidopsis</w:t>
      </w:r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 and rice. Plant Physiol 140, 411-32.</w:t>
      </w:r>
    </w:p>
    <w:p w:rsidR="009E4147" w:rsidRPr="0068688D" w:rsidRDefault="009E4147" w:rsidP="009E4147">
      <w:pPr>
        <w:ind w:left="720" w:hanging="720"/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68688D">
        <w:rPr>
          <w:rFonts w:ascii="Times New Roman" w:hAnsi="Times New Roman" w:cs="Times New Roman"/>
          <w:noProof/>
          <w:sz w:val="21"/>
          <w:szCs w:val="21"/>
        </w:rPr>
        <w:lastRenderedPageBreak/>
        <w:t>Xie, R., Dong, C., Ma, Y., Deng, L., He, S., Yi, S., Lv, Q. and Zheng, Y., 2015. Comprehensive analysis of SAUR gene family in citrus and its transcriptional correlation with fruitlet drop from abscission zone A. Funct Integr Genomics 15, 729-40.</w:t>
      </w:r>
    </w:p>
    <w:p w:rsidR="00FB7318" w:rsidRDefault="009E4147" w:rsidP="009E4147"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Zhao, Y., Chang, X., Qi, D., Dong, L., Wang, G., Fan, S., Jiang, L., Cheng, Q., Chen, X., Han, D., Xu, P. and Zhang, S., 2017. A novel soybean ERF transcription factor, 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GmERF113</w:t>
      </w:r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, increases resistance to </w:t>
      </w:r>
      <w:r w:rsidRPr="0068688D">
        <w:rPr>
          <w:rFonts w:ascii="Times New Roman" w:hAnsi="Times New Roman" w:cs="Times New Roman"/>
          <w:i/>
          <w:iCs/>
          <w:noProof/>
          <w:sz w:val="21"/>
          <w:szCs w:val="21"/>
        </w:rPr>
        <w:t>phytophthora sojae</w:t>
      </w:r>
      <w:r w:rsidRPr="0068688D">
        <w:rPr>
          <w:rFonts w:ascii="Times New Roman" w:hAnsi="Times New Roman" w:cs="Times New Roman"/>
          <w:noProof/>
          <w:sz w:val="21"/>
          <w:szCs w:val="21"/>
        </w:rPr>
        <w:t xml:space="preserve"> infection in soybean. Front Plant Sci 8, 299.</w:t>
      </w: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14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4147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94756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character" w:customStyle="1" w:styleId="EndNoteBibliographyChar">
    <w:name w:val="EndNote Bibliography Char"/>
    <w:link w:val="EndNoteBibliography"/>
    <w:rsid w:val="009E4147"/>
    <w:rPr>
      <w:rFonts w:ascii="Calibri" w:hAnsi="Calibri" w:cs="Calibri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E4147"/>
    <w:pPr>
      <w:spacing w:after="0" w:line="240" w:lineRule="auto"/>
    </w:pPr>
    <w:rPr>
      <w:rFonts w:ascii="Calibri" w:hAnsi="Calibri" w:cs="Calibri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character" w:customStyle="1" w:styleId="EndNoteBibliographyChar">
    <w:name w:val="EndNote Bibliography Char"/>
    <w:link w:val="EndNoteBibliography"/>
    <w:rsid w:val="009E4147"/>
    <w:rPr>
      <w:rFonts w:ascii="Calibri" w:hAnsi="Calibri" w:cs="Calibri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E4147"/>
    <w:pPr>
      <w:spacing w:after="0" w:line="240" w:lineRule="auto"/>
    </w:pPr>
    <w:rPr>
      <w:rFonts w:ascii="Calibri" w:hAnsi="Calibri" w:cs="Calibr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1351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2020-12-04T15:19:00Z</dcterms:created>
  <dcterms:modified xsi:type="dcterms:W3CDTF">2020-12-04T15:19:00Z</dcterms:modified>
</cp:coreProperties>
</file>