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8855C" w14:textId="77777777" w:rsidR="00A9211C" w:rsidRPr="00C517C1" w:rsidRDefault="00A9211C" w:rsidP="00A9211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17C1">
        <w:rPr>
          <w:rFonts w:ascii="Times New Roman" w:hAnsi="Times New Roman" w:cs="Times New Roman"/>
          <w:b/>
          <w:bCs/>
          <w:sz w:val="24"/>
          <w:szCs w:val="24"/>
        </w:rPr>
        <w:t xml:space="preserve">Title: </w:t>
      </w:r>
      <w:bookmarkStart w:id="0" w:name="_Hlk63793274"/>
      <w:r w:rsidRPr="00C517C1">
        <w:rPr>
          <w:rFonts w:ascii="Times New Roman" w:hAnsi="Times New Roman" w:cs="Times New Roman"/>
          <w:b/>
          <w:bCs/>
          <w:sz w:val="24"/>
          <w:szCs w:val="24"/>
        </w:rPr>
        <w:t>Deep transcriptomic study reveals the role of cell wall biosynthesis and organization networks in the developing shell of peanut pod</w:t>
      </w:r>
      <w:bookmarkEnd w:id="0"/>
      <w:r w:rsidRPr="00C517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CA104D2" w14:textId="77777777" w:rsidR="00A9211C" w:rsidRPr="00C517C1" w:rsidRDefault="00A9211C" w:rsidP="00A921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5E57C6" w14:textId="77777777" w:rsidR="00642478" w:rsidRDefault="00642478" w:rsidP="006424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Kapil </w:t>
      </w:r>
      <w:proofErr w:type="spellStart"/>
      <w:r>
        <w:rPr>
          <w:rFonts w:ascii="Times New Roman" w:hAnsi="Times New Roman" w:cs="Times New Roman"/>
          <w:sz w:val="24"/>
          <w:szCs w:val="24"/>
        </w:rPr>
        <w:t>Gupta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# </w:t>
      </w:r>
      <w:r>
        <w:rPr>
          <w:rFonts w:ascii="Times New Roman" w:hAnsi="Times New Roman" w:cs="Times New Roman"/>
          <w:sz w:val="24"/>
          <w:szCs w:val="24"/>
        </w:rPr>
        <w:t xml:space="preserve">*, Shubhra </w:t>
      </w:r>
      <w:proofErr w:type="spellStart"/>
      <w:r>
        <w:rPr>
          <w:rFonts w:ascii="Times New Roman" w:hAnsi="Times New Roman" w:cs="Times New Roman"/>
          <w:sz w:val="24"/>
          <w:szCs w:val="24"/>
        </w:rPr>
        <w:t>Gupta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Adi </w:t>
      </w:r>
      <w:proofErr w:type="spellStart"/>
      <w:r>
        <w:rPr>
          <w:rFonts w:ascii="Times New Roman" w:hAnsi="Times New Roman" w:cs="Times New Roman"/>
          <w:sz w:val="24"/>
          <w:szCs w:val="24"/>
        </w:rPr>
        <w:t>Faigenboim-Doron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Abhinandan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Surgonda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Patil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>$</w:t>
      </w:r>
      <w:r>
        <w:rPr>
          <w:rFonts w:ascii="Times New Roman" w:hAnsi="Times New Roman" w:cs="Times New Roman"/>
          <w:sz w:val="24"/>
          <w:szCs w:val="24"/>
        </w:rPr>
        <w:t xml:space="preserve">, Yael </w:t>
      </w:r>
      <w:proofErr w:type="spellStart"/>
      <w:r>
        <w:rPr>
          <w:rFonts w:ascii="Times New Roman" w:hAnsi="Times New Roman" w:cs="Times New Roman"/>
          <w:sz w:val="24"/>
          <w:szCs w:val="24"/>
        </w:rPr>
        <w:t>Levy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Scott Cohen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Carrus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Ran </w:t>
      </w:r>
      <w:proofErr w:type="spellStart"/>
      <w:r>
        <w:rPr>
          <w:rFonts w:ascii="Times New Roman" w:hAnsi="Times New Roman" w:cs="Times New Roman"/>
          <w:sz w:val="24"/>
          <w:szCs w:val="24"/>
        </w:rPr>
        <w:t>Hovav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2842C36F" w14:textId="0B7DC795" w:rsidR="00A9211C" w:rsidRPr="00C517C1" w:rsidRDefault="00A9211C" w:rsidP="00A9211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503651" w14:textId="77777777" w:rsidR="00A9211C" w:rsidRPr="00C517C1" w:rsidRDefault="00A9211C" w:rsidP="00A9211C">
      <w:pPr>
        <w:tabs>
          <w:tab w:val="left" w:pos="563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7C1">
        <w:rPr>
          <w:rFonts w:ascii="Times New Roman" w:hAnsi="Times New Roman" w:cs="Times New Roman"/>
          <w:sz w:val="24"/>
          <w:szCs w:val="24"/>
        </w:rPr>
        <w:tab/>
      </w:r>
    </w:p>
    <w:p w14:paraId="344095B9" w14:textId="77777777" w:rsidR="00A9211C" w:rsidRPr="00C517C1" w:rsidRDefault="00A9211C" w:rsidP="00A9211C">
      <w:pPr>
        <w:tabs>
          <w:tab w:val="left" w:pos="563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7C1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Pr="00C517C1">
        <w:rPr>
          <w:rFonts w:ascii="Times New Roman" w:hAnsi="Times New Roman" w:cs="Times New Roman"/>
          <w:sz w:val="24"/>
          <w:szCs w:val="24"/>
        </w:rPr>
        <w:t>Department of Field Crops, Plant Sciences Institute, ARO, Bet-Dagan, Israel.</w:t>
      </w:r>
    </w:p>
    <w:p w14:paraId="2CBC9AF2" w14:textId="77777777" w:rsidR="00A9211C" w:rsidRPr="00C517C1" w:rsidRDefault="00A9211C" w:rsidP="00A9211C">
      <w:pPr>
        <w:tabs>
          <w:tab w:val="left" w:pos="563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7C1">
        <w:rPr>
          <w:rFonts w:ascii="Times New Roman" w:hAnsi="Times New Roman" w:cs="Times New Roman"/>
          <w:sz w:val="24"/>
          <w:szCs w:val="24"/>
        </w:rPr>
        <w:t># Current Address: CSIR-Central Institute of Medicinal and Aromatic Plants, Lucknow, UP, India.</w:t>
      </w:r>
    </w:p>
    <w:p w14:paraId="5A910D5B" w14:textId="77777777" w:rsidR="00A9211C" w:rsidRPr="00C517C1" w:rsidRDefault="00A9211C" w:rsidP="00A9211C">
      <w:pPr>
        <w:tabs>
          <w:tab w:val="left" w:pos="563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7C1">
        <w:rPr>
          <w:rFonts w:ascii="Times New Roman" w:hAnsi="Times New Roman" w:cs="Times New Roman"/>
          <w:sz w:val="24"/>
          <w:szCs w:val="24"/>
        </w:rPr>
        <w:t xml:space="preserve">$ Current Address: Plant Breeding Strategic Innovation Platform, International Rice Research Institute, Los </w:t>
      </w:r>
      <w:proofErr w:type="spellStart"/>
      <w:r w:rsidRPr="00C517C1">
        <w:rPr>
          <w:rFonts w:ascii="Times New Roman" w:hAnsi="Times New Roman" w:cs="Times New Roman"/>
          <w:sz w:val="24"/>
          <w:szCs w:val="24"/>
        </w:rPr>
        <w:t>Banos</w:t>
      </w:r>
      <w:proofErr w:type="spellEnd"/>
      <w:r w:rsidRPr="00C517C1">
        <w:rPr>
          <w:rFonts w:ascii="Times New Roman" w:hAnsi="Times New Roman" w:cs="Times New Roman"/>
          <w:sz w:val="24"/>
          <w:szCs w:val="24"/>
        </w:rPr>
        <w:t xml:space="preserve">, Laguna, </w:t>
      </w:r>
      <w:proofErr w:type="spellStart"/>
      <w:r w:rsidRPr="00C517C1">
        <w:rPr>
          <w:rFonts w:ascii="Times New Roman" w:hAnsi="Times New Roman" w:cs="Times New Roman"/>
          <w:sz w:val="24"/>
          <w:szCs w:val="24"/>
        </w:rPr>
        <w:t>Phillipines</w:t>
      </w:r>
      <w:proofErr w:type="spellEnd"/>
      <w:r w:rsidRPr="00C517C1">
        <w:rPr>
          <w:rFonts w:ascii="Times New Roman" w:hAnsi="Times New Roman" w:cs="Times New Roman"/>
          <w:sz w:val="24"/>
          <w:szCs w:val="24"/>
        </w:rPr>
        <w:t>.</w:t>
      </w:r>
    </w:p>
    <w:p w14:paraId="09BA34ED" w14:textId="77777777" w:rsidR="00A9211C" w:rsidRPr="00C517C1" w:rsidRDefault="00A9211C" w:rsidP="00A9211C">
      <w:pPr>
        <w:tabs>
          <w:tab w:val="left" w:pos="563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7C1">
        <w:rPr>
          <w:rFonts w:ascii="Times New Roman" w:hAnsi="Times New Roman" w:cs="Times New Roman"/>
          <w:sz w:val="24"/>
          <w:szCs w:val="24"/>
        </w:rPr>
        <w:t>* Communicating Author</w:t>
      </w:r>
    </w:p>
    <w:p w14:paraId="478D2BE8" w14:textId="77777777" w:rsidR="00A9211C" w:rsidRPr="00C517C1" w:rsidRDefault="00A9211C" w:rsidP="00A9211C">
      <w:pPr>
        <w:tabs>
          <w:tab w:val="left" w:pos="563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7C1">
        <w:rPr>
          <w:rFonts w:ascii="Times New Roman" w:hAnsi="Times New Roman" w:cs="Times New Roman"/>
          <w:sz w:val="24"/>
          <w:szCs w:val="24"/>
        </w:rPr>
        <w:t xml:space="preserve">E-mail address: ranh@volcani.agri.gov.il (Ran </w:t>
      </w:r>
      <w:proofErr w:type="spellStart"/>
      <w:r w:rsidRPr="00C517C1">
        <w:rPr>
          <w:rFonts w:ascii="Times New Roman" w:hAnsi="Times New Roman" w:cs="Times New Roman"/>
          <w:sz w:val="24"/>
          <w:szCs w:val="24"/>
        </w:rPr>
        <w:t>Hovav</w:t>
      </w:r>
      <w:proofErr w:type="spellEnd"/>
      <w:r w:rsidRPr="00C517C1">
        <w:rPr>
          <w:rFonts w:ascii="Times New Roman" w:hAnsi="Times New Roman" w:cs="Times New Roman"/>
          <w:sz w:val="24"/>
          <w:szCs w:val="24"/>
        </w:rPr>
        <w:t>)</w:t>
      </w:r>
    </w:p>
    <w:p w14:paraId="0DDA4BE2" w14:textId="77777777" w:rsidR="00A9211C" w:rsidRPr="00C517C1" w:rsidRDefault="00A9211C" w:rsidP="00A9211C">
      <w:pPr>
        <w:tabs>
          <w:tab w:val="left" w:pos="563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7C1">
        <w:rPr>
          <w:rFonts w:ascii="Times New Roman" w:hAnsi="Times New Roman" w:cs="Times New Roman"/>
          <w:sz w:val="24"/>
          <w:szCs w:val="24"/>
        </w:rPr>
        <w:t xml:space="preserve">                          kapilgupta190184@gmail.com (Kapil Gupta)</w:t>
      </w:r>
    </w:p>
    <w:p w14:paraId="7407E237" w14:textId="0A9DE676" w:rsidR="00A9211C" w:rsidRDefault="00A9211C" w:rsidP="00F667F8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69EE9AC" w14:textId="79775D26" w:rsidR="00A9211C" w:rsidRDefault="00A9211C" w:rsidP="00F667F8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3D69B2" w14:textId="160CCB47" w:rsidR="00A9211C" w:rsidRDefault="00A9211C" w:rsidP="00F667F8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DF0EC8" w14:textId="1F46B3AC" w:rsidR="00A9211C" w:rsidRDefault="00A9211C" w:rsidP="00F667F8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679CFB" w14:textId="7FFE3EAB" w:rsidR="00A9211C" w:rsidRDefault="00A9211C" w:rsidP="00F667F8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B71F21" w14:textId="27321C51" w:rsidR="00A9211C" w:rsidRDefault="00A9211C" w:rsidP="00F667F8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751569" w14:textId="4EC329A5" w:rsidR="00A9211C" w:rsidRDefault="00A9211C" w:rsidP="00F667F8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218A3D" w14:textId="11C12433" w:rsidR="00A9211C" w:rsidRDefault="00A9211C" w:rsidP="00F667F8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966A6E" w14:textId="5A7DD6C0" w:rsidR="00A9211C" w:rsidRDefault="00A9211C" w:rsidP="00F667F8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8A466F5" w14:textId="77777777" w:rsidR="00A9211C" w:rsidRDefault="00A9211C" w:rsidP="00F667F8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4F3720" w14:textId="77777777" w:rsidR="00A9211C" w:rsidRDefault="00A9211C" w:rsidP="00F667F8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128B58" w14:textId="77777777" w:rsidR="00A9211C" w:rsidRDefault="00A9211C" w:rsidP="00F667F8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7F651B" w14:textId="4D628845" w:rsidR="0035034B" w:rsidRPr="00D33A6F" w:rsidRDefault="0035034B" w:rsidP="00F667F8">
      <w:pPr>
        <w:spacing w:before="240"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065F">
        <w:rPr>
          <w:rFonts w:ascii="Times New Roman" w:hAnsi="Times New Roman" w:cs="Times New Roman"/>
          <w:bCs/>
          <w:sz w:val="24"/>
          <w:szCs w:val="24"/>
        </w:rPr>
        <w:lastRenderedPageBreak/>
        <w:t>Supplementary Table</w:t>
      </w:r>
      <w:r w:rsidRPr="00D33A6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D33A6F">
        <w:rPr>
          <w:rFonts w:ascii="Times New Roman" w:hAnsi="Times New Roman" w:cs="Times New Roman"/>
          <w:bCs/>
          <w:sz w:val="24"/>
          <w:szCs w:val="24"/>
        </w:rPr>
        <w:t xml:space="preserve">. Details for </w:t>
      </w:r>
      <w:r w:rsidR="00F667F8">
        <w:rPr>
          <w:rFonts w:ascii="Times New Roman" w:hAnsi="Times New Roman" w:cs="Times New Roman"/>
          <w:bCs/>
          <w:sz w:val="24"/>
          <w:szCs w:val="24"/>
        </w:rPr>
        <w:t xml:space="preserve">detection methods used in </w:t>
      </w:r>
      <w:r w:rsidRPr="00D33A6F">
        <w:rPr>
          <w:rFonts w:ascii="Times New Roman" w:hAnsi="Times New Roman" w:cs="Times New Roman"/>
          <w:bCs/>
          <w:sz w:val="24"/>
          <w:szCs w:val="24"/>
        </w:rPr>
        <w:t>estimation</w:t>
      </w:r>
      <w:r w:rsidR="00F667F8"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="00F667F8" w:rsidRPr="00D33A6F">
        <w:rPr>
          <w:rFonts w:ascii="Times New Roman" w:hAnsi="Times New Roman" w:cs="Times New Roman"/>
          <w:bCs/>
          <w:sz w:val="24"/>
          <w:szCs w:val="24"/>
        </w:rPr>
        <w:t>shell component</w:t>
      </w:r>
      <w:r w:rsidR="00F667F8">
        <w:rPr>
          <w:rFonts w:ascii="Times New Roman" w:hAnsi="Times New Roman" w:cs="Times New Roman"/>
          <w:bCs/>
          <w:sz w:val="24"/>
          <w:szCs w:val="24"/>
        </w:rPr>
        <w:t>s.</w:t>
      </w:r>
    </w:p>
    <w:tbl>
      <w:tblPr>
        <w:bidiVisual/>
        <w:tblW w:w="9546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4" w:type="dxa"/>
          <w:right w:w="104" w:type="dxa"/>
        </w:tblCellMar>
        <w:tblLook w:val="00A0" w:firstRow="1" w:lastRow="0" w:firstColumn="1" w:lastColumn="0" w:noHBand="0" w:noVBand="0"/>
      </w:tblPr>
      <w:tblGrid>
        <w:gridCol w:w="2166"/>
        <w:gridCol w:w="2700"/>
        <w:gridCol w:w="2250"/>
        <w:gridCol w:w="1800"/>
        <w:gridCol w:w="630"/>
      </w:tblGrid>
      <w:tr w:rsidR="0035034B" w:rsidRPr="00D33A6F" w14:paraId="079C845B" w14:textId="77777777" w:rsidTr="0012581A">
        <w:trPr>
          <w:trHeight w:val="416"/>
        </w:trPr>
        <w:tc>
          <w:tcPr>
            <w:tcW w:w="2166" w:type="dxa"/>
          </w:tcPr>
          <w:p w14:paraId="6A5676E0" w14:textId="77777777" w:rsidR="0035034B" w:rsidRPr="00D33A6F" w:rsidRDefault="0035034B" w:rsidP="0012581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Standard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method</w:t>
            </w:r>
          </w:p>
        </w:tc>
        <w:tc>
          <w:tcPr>
            <w:tcW w:w="2700" w:type="dxa"/>
          </w:tcPr>
          <w:p w14:paraId="121B66D0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Description of the test</w:t>
            </w:r>
          </w:p>
        </w:tc>
        <w:tc>
          <w:tcPr>
            <w:tcW w:w="2250" w:type="dxa"/>
          </w:tcPr>
          <w:p w14:paraId="40440192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Name of the test</w:t>
            </w:r>
          </w:p>
        </w:tc>
        <w:tc>
          <w:tcPr>
            <w:tcW w:w="1800" w:type="dxa"/>
          </w:tcPr>
          <w:p w14:paraId="0BFD06DF" w14:textId="77777777" w:rsidR="0035034B" w:rsidRPr="00D33A6F" w:rsidRDefault="0035034B" w:rsidP="0012581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rtl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Shell components </w:t>
            </w:r>
          </w:p>
        </w:tc>
        <w:tc>
          <w:tcPr>
            <w:tcW w:w="630" w:type="dxa"/>
          </w:tcPr>
          <w:p w14:paraId="04FD61C5" w14:textId="77777777" w:rsidR="0035034B" w:rsidRPr="00D33A6F" w:rsidRDefault="0035034B" w:rsidP="0012581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rtl/>
              </w:rPr>
            </w:pPr>
            <w:proofErr w:type="spellStart"/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Sr.No</w:t>
            </w:r>
            <w:proofErr w:type="spellEnd"/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35034B" w:rsidRPr="00D33A6F" w14:paraId="763B9C8F" w14:textId="77777777" w:rsidTr="0012581A">
        <w:trPr>
          <w:trHeight w:val="1261"/>
        </w:trPr>
        <w:tc>
          <w:tcPr>
            <w:tcW w:w="2166" w:type="dxa"/>
          </w:tcPr>
          <w:p w14:paraId="1A8E5CF8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SM   4500 P-E</w:t>
            </w:r>
          </w:p>
        </w:tc>
        <w:tc>
          <w:tcPr>
            <w:tcW w:w="2700" w:type="dxa"/>
          </w:tcPr>
          <w:p w14:paraId="62915BA0" w14:textId="77777777" w:rsidR="0035034B" w:rsidRPr="00D33A6F" w:rsidRDefault="0035034B" w:rsidP="0012581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The test is based on a color reaction, in which a complex of phosphorus is formed</w:t>
            </w:r>
          </w:p>
        </w:tc>
        <w:tc>
          <w:tcPr>
            <w:tcW w:w="2250" w:type="dxa"/>
          </w:tcPr>
          <w:p w14:paraId="7D74F88A" w14:textId="77777777" w:rsidR="0035034B" w:rsidRPr="00D33A6F" w:rsidRDefault="0035034B" w:rsidP="0012581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Examination of phosphorus concentration in the water</w:t>
            </w:r>
          </w:p>
        </w:tc>
        <w:tc>
          <w:tcPr>
            <w:tcW w:w="1800" w:type="dxa"/>
          </w:tcPr>
          <w:p w14:paraId="0B6FCA29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P-Phosphorus</w:t>
            </w:r>
          </w:p>
        </w:tc>
        <w:tc>
          <w:tcPr>
            <w:tcW w:w="630" w:type="dxa"/>
          </w:tcPr>
          <w:p w14:paraId="5AAB3C78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rtl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5034B" w:rsidRPr="00D33A6F" w14:paraId="43D7096A" w14:textId="77777777" w:rsidTr="0012581A">
        <w:trPr>
          <w:trHeight w:val="890"/>
        </w:trPr>
        <w:tc>
          <w:tcPr>
            <w:tcW w:w="2166" w:type="dxa"/>
          </w:tcPr>
          <w:p w14:paraId="67F21966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SM   3500 K-B</w:t>
            </w:r>
          </w:p>
        </w:tc>
        <w:tc>
          <w:tcPr>
            <w:tcW w:w="2700" w:type="dxa"/>
          </w:tcPr>
          <w:p w14:paraId="4DC55D35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Tested using a flame photometer</w:t>
            </w:r>
          </w:p>
        </w:tc>
        <w:tc>
          <w:tcPr>
            <w:tcW w:w="2250" w:type="dxa"/>
          </w:tcPr>
          <w:p w14:paraId="27959D76" w14:textId="77777777" w:rsidR="0035034B" w:rsidRPr="00D33A6F" w:rsidRDefault="0035034B" w:rsidP="0012581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Test potassium concentration in the water</w:t>
            </w:r>
          </w:p>
        </w:tc>
        <w:tc>
          <w:tcPr>
            <w:tcW w:w="1800" w:type="dxa"/>
          </w:tcPr>
          <w:p w14:paraId="31C67E3A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K-Potassium</w:t>
            </w:r>
          </w:p>
        </w:tc>
        <w:tc>
          <w:tcPr>
            <w:tcW w:w="630" w:type="dxa"/>
          </w:tcPr>
          <w:p w14:paraId="26E5400D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rtl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5034B" w:rsidRPr="00D33A6F" w14:paraId="77FD8F99" w14:textId="77777777" w:rsidTr="0012581A">
        <w:trPr>
          <w:trHeight w:val="190"/>
        </w:trPr>
        <w:tc>
          <w:tcPr>
            <w:tcW w:w="2166" w:type="dxa"/>
          </w:tcPr>
          <w:p w14:paraId="2B91076B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SM   3111 B</w:t>
            </w:r>
          </w:p>
        </w:tc>
        <w:tc>
          <w:tcPr>
            <w:tcW w:w="2700" w:type="dxa"/>
          </w:tcPr>
          <w:p w14:paraId="75D65A87" w14:textId="77777777" w:rsidR="0035034B" w:rsidRPr="00D33A6F" w:rsidRDefault="0035034B" w:rsidP="0012581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bidi="he-IL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Tested by evaporating the sample into a flame and reading the amount of light absorbed by each element at the appropriate wavelength</w:t>
            </w:r>
          </w:p>
        </w:tc>
        <w:tc>
          <w:tcPr>
            <w:tcW w:w="2250" w:type="dxa"/>
          </w:tcPr>
          <w:p w14:paraId="3B5BD1E6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rtl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Measuring the presence of Ca element using an atomic absorption device in the water</w:t>
            </w:r>
          </w:p>
        </w:tc>
        <w:tc>
          <w:tcPr>
            <w:tcW w:w="1800" w:type="dxa"/>
            <w:shd w:val="clear" w:color="auto" w:fill="auto"/>
          </w:tcPr>
          <w:p w14:paraId="4C902AE9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Ca-Calcium </w:t>
            </w:r>
          </w:p>
        </w:tc>
        <w:tc>
          <w:tcPr>
            <w:tcW w:w="630" w:type="dxa"/>
          </w:tcPr>
          <w:p w14:paraId="51CB1BFD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35034B" w:rsidRPr="00D33A6F" w14:paraId="41741863" w14:textId="77777777" w:rsidTr="0012581A">
        <w:trPr>
          <w:trHeight w:val="190"/>
        </w:trPr>
        <w:tc>
          <w:tcPr>
            <w:tcW w:w="2166" w:type="dxa"/>
          </w:tcPr>
          <w:p w14:paraId="557AE6DA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ANCOME Technology</w:t>
            </w:r>
          </w:p>
        </w:tc>
        <w:tc>
          <w:tcPr>
            <w:tcW w:w="2700" w:type="dxa"/>
          </w:tcPr>
          <w:p w14:paraId="66F72637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rtl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Cellulose, Hemi-</w:t>
            </w:r>
            <w:proofErr w:type="spellStart"/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celluloseare</w:t>
            </w:r>
            <w:proofErr w:type="spellEnd"/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calculated from ADF ,NDF  and ADL</w:t>
            </w:r>
          </w:p>
          <w:p w14:paraId="3281F0D6" w14:textId="77777777" w:rsidR="0035034B" w:rsidRPr="00D33A6F" w:rsidRDefault="0035034B" w:rsidP="0012581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rtl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(https://www.ankom.com/analytical-methods-support/fiber-analyzer-a200)</w:t>
            </w:r>
          </w:p>
        </w:tc>
        <w:tc>
          <w:tcPr>
            <w:tcW w:w="2250" w:type="dxa"/>
          </w:tcPr>
          <w:p w14:paraId="3E0107F3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rtl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ADF, </w:t>
            </w:r>
            <w:proofErr w:type="spellStart"/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NDF,Crude</w:t>
            </w:r>
            <w:proofErr w:type="spellEnd"/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fiber, Cellulose, Hemi-cellulose</w:t>
            </w:r>
          </w:p>
        </w:tc>
        <w:tc>
          <w:tcPr>
            <w:tcW w:w="1800" w:type="dxa"/>
            <w:shd w:val="clear" w:color="auto" w:fill="auto"/>
          </w:tcPr>
          <w:p w14:paraId="489AD6AF" w14:textId="77777777" w:rsidR="0035034B" w:rsidRPr="00D33A6F" w:rsidRDefault="0035034B" w:rsidP="0012581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rtl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ADF (%), NDF (%)Crude fiber (%), Cellulose (%), Hemi-cellulose (%) and ADL (%)</w:t>
            </w:r>
          </w:p>
        </w:tc>
        <w:tc>
          <w:tcPr>
            <w:tcW w:w="630" w:type="dxa"/>
          </w:tcPr>
          <w:p w14:paraId="772AD681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5034B" w:rsidRPr="00D33A6F" w14:paraId="070985B0" w14:textId="77777777" w:rsidTr="0012581A">
        <w:trPr>
          <w:trHeight w:val="190"/>
        </w:trPr>
        <w:tc>
          <w:tcPr>
            <w:tcW w:w="2166" w:type="dxa"/>
          </w:tcPr>
          <w:p w14:paraId="1DD85BD1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Filter Bag Technique (for A200 and A200I)</w:t>
            </w:r>
          </w:p>
        </w:tc>
        <w:tc>
          <w:tcPr>
            <w:tcW w:w="2700" w:type="dxa"/>
          </w:tcPr>
          <w:p w14:paraId="10473034" w14:textId="77777777" w:rsidR="0035034B" w:rsidRPr="00D33A6F" w:rsidRDefault="0035034B" w:rsidP="0012581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The principle of the method for testing dry matter is based on drying the known weight of an example in the oven and removing the water from it by evaporation. % Dry matter is calculated as the remainder of the remaining material from the wet sample rule. In general, evaporation of water from the example takes place at a temperature of 105°C.Ash is tested after dry mater in 550°C for 8 hours.</w:t>
            </w:r>
          </w:p>
        </w:tc>
        <w:tc>
          <w:tcPr>
            <w:tcW w:w="2250" w:type="dxa"/>
          </w:tcPr>
          <w:p w14:paraId="1610F51D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Ash and dry matter</w:t>
            </w:r>
          </w:p>
        </w:tc>
        <w:tc>
          <w:tcPr>
            <w:tcW w:w="1800" w:type="dxa"/>
            <w:shd w:val="clear" w:color="auto" w:fill="auto"/>
          </w:tcPr>
          <w:p w14:paraId="2398122F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Ash and Dry matter (%)</w:t>
            </w:r>
          </w:p>
        </w:tc>
        <w:tc>
          <w:tcPr>
            <w:tcW w:w="630" w:type="dxa"/>
          </w:tcPr>
          <w:p w14:paraId="1BFE54D7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5034B" w:rsidRPr="00D33A6F" w14:paraId="39F9777E" w14:textId="77777777" w:rsidTr="0012581A">
        <w:trPr>
          <w:trHeight w:val="190"/>
        </w:trPr>
        <w:tc>
          <w:tcPr>
            <w:tcW w:w="2166" w:type="dxa"/>
          </w:tcPr>
          <w:p w14:paraId="135A72A7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Nessler's reagent</w:t>
            </w:r>
          </w:p>
        </w:tc>
        <w:tc>
          <w:tcPr>
            <w:tcW w:w="2700" w:type="dxa"/>
          </w:tcPr>
          <w:p w14:paraId="0FED2F9C" w14:textId="77777777" w:rsidR="0035034B" w:rsidRPr="00D33A6F" w:rsidRDefault="0035034B" w:rsidP="0012581A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An aqueous solution of potassium iodide, mercuric chloride, and potassium hydroxide, used as a test for the presence of ammonia.</w:t>
            </w:r>
          </w:p>
        </w:tc>
        <w:tc>
          <w:tcPr>
            <w:tcW w:w="2250" w:type="dxa"/>
          </w:tcPr>
          <w:p w14:paraId="19483D54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Protein and Nitrogen</w:t>
            </w:r>
          </w:p>
          <w:p w14:paraId="03658833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6926C758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Protein (%)</w:t>
            </w:r>
          </w:p>
          <w:p w14:paraId="0FBA6B5D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and Nitrogen</w:t>
            </w:r>
          </w:p>
        </w:tc>
        <w:tc>
          <w:tcPr>
            <w:tcW w:w="630" w:type="dxa"/>
          </w:tcPr>
          <w:p w14:paraId="7DB593F1" w14:textId="77777777" w:rsidR="0035034B" w:rsidRPr="00D33A6F" w:rsidRDefault="0035034B" w:rsidP="0012581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3A6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</w:tbl>
    <w:p w14:paraId="7EDC596B" w14:textId="77777777" w:rsidR="00595289" w:rsidRDefault="00595289"/>
    <w:sectPr w:rsidR="005952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34B"/>
    <w:rsid w:val="0035034B"/>
    <w:rsid w:val="00522D87"/>
    <w:rsid w:val="00595289"/>
    <w:rsid w:val="00642478"/>
    <w:rsid w:val="00A9211C"/>
    <w:rsid w:val="00AB065F"/>
    <w:rsid w:val="00F6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71F5F"/>
  <w15:chartTrackingRefBased/>
  <w15:docId w15:val="{FDCFE3ED-176B-4DC2-8271-BFC5C06D0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34B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7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</dc:creator>
  <cp:keywords/>
  <dc:description/>
  <cp:lastModifiedBy>Kapil Gupta</cp:lastModifiedBy>
  <cp:revision>5</cp:revision>
  <dcterms:created xsi:type="dcterms:W3CDTF">2020-12-13T08:45:00Z</dcterms:created>
  <dcterms:modified xsi:type="dcterms:W3CDTF">2021-05-20T14:23:00Z</dcterms:modified>
</cp:coreProperties>
</file>