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9FEE7" w14:textId="77777777" w:rsidR="003866B8" w:rsidRPr="009840AB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bookmarkStart w:id="0" w:name="_Hlk78904263"/>
      <w:bookmarkStart w:id="1" w:name="_Hlk78902216"/>
      <w:r w:rsidRPr="00D35373">
        <w:rPr>
          <w:rFonts w:ascii="Times New Roman" w:hAnsi="Times New Roman" w:cs="Times New Roman"/>
          <w:b/>
          <w:bCs/>
          <w:sz w:val="24"/>
          <w:szCs w:val="24"/>
        </w:rPr>
        <w:t>Methods S1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840AB">
        <w:rPr>
          <w:rFonts w:ascii="Times New Roman" w:hAnsi="Times New Roman" w:cs="Times New Roman"/>
          <w:color w:val="000000"/>
          <w:kern w:val="0"/>
          <w:sz w:val="24"/>
          <w:szCs w:val="24"/>
        </w:rPr>
        <w:t>RNA sequencing and assembly</w:t>
      </w:r>
    </w:p>
    <w:p w14:paraId="4DE4A09C" w14:textId="2DECAB10" w:rsidR="003866B8" w:rsidRPr="00A83748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83748">
        <w:rPr>
          <w:rFonts w:ascii="Times New Roman" w:eastAsia="SimSun" w:hAnsi="Times New Roman" w:cs="Times New Roman"/>
          <w:kern w:val="0"/>
          <w:sz w:val="24"/>
          <w:szCs w:val="24"/>
        </w:rPr>
        <w:t>Total RNA</w:t>
      </w:r>
      <w:r w:rsidRPr="00A83748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of mixed tissues (root, stem and leaf) was </w:t>
      </w:r>
      <w:r w:rsidRPr="00A83748">
        <w:rPr>
          <w:rFonts w:ascii="Times New Roman" w:eastAsia="SimSun" w:hAnsi="Times New Roman" w:cs="Times New Roman"/>
          <w:kern w:val="0"/>
          <w:sz w:val="24"/>
          <w:szCs w:val="24"/>
        </w:rPr>
        <w:t>extracted</w:t>
      </w:r>
      <w:r w:rsidRPr="00A83748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 w:rsidRPr="00A83748">
        <w:rPr>
          <w:rFonts w:ascii="Times New Roman" w:eastAsia="SimSun" w:hAnsi="Times New Roman" w:cs="Times New Roman"/>
          <w:kern w:val="0"/>
          <w:sz w:val="24"/>
          <w:szCs w:val="24"/>
        </w:rPr>
        <w:t xml:space="preserve">using </w:t>
      </w:r>
      <w:proofErr w:type="spellStart"/>
      <w:r w:rsidRPr="00A83748">
        <w:rPr>
          <w:rFonts w:ascii="Times New Roman" w:eastAsia="SimSun" w:hAnsi="Times New Roman" w:cs="Times New Roman"/>
          <w:kern w:val="0"/>
          <w:sz w:val="24"/>
          <w:szCs w:val="24"/>
        </w:rPr>
        <w:t>Trizol</w:t>
      </w:r>
      <w:proofErr w:type="spellEnd"/>
      <w:r w:rsidRPr="00A83748">
        <w:rPr>
          <w:rFonts w:ascii="Times New Roman" w:eastAsia="SimSun" w:hAnsi="Times New Roman" w:cs="Times New Roman"/>
          <w:kern w:val="0"/>
          <w:sz w:val="24"/>
          <w:szCs w:val="24"/>
        </w:rPr>
        <w:t xml:space="preserve"> reagent, genomic DNA contamination was removed using the RNase-free DNase</w:t>
      </w:r>
      <w:r w:rsidRPr="00A83748">
        <w:rPr>
          <w:rFonts w:ascii="Times New Roman" w:eastAsia="SimSun" w:hAnsi="Times New Roman" w:cs="Times New Roman"/>
        </w:rPr>
        <w:t xml:space="preserve"> </w:t>
      </w:r>
      <w:r w:rsidRPr="00A83748">
        <w:rPr>
          <w:rFonts w:ascii="Times New Roman" w:eastAsia="SimSun" w:hAnsi="Times New Roman" w:cs="Times New Roman"/>
          <w:kern w:val="0"/>
          <w:sz w:val="24"/>
          <w:szCs w:val="24"/>
        </w:rPr>
        <w:t xml:space="preserve">I. </w:t>
      </w:r>
      <w:r w:rsidRPr="00A83748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The</w:t>
      </w:r>
      <w:r w:rsidRPr="00A83748">
        <w:rPr>
          <w:rFonts w:ascii="Times New Roman" w:hAnsi="Times New Roman" w:cs="Times New Roman"/>
          <w:kern w:val="0"/>
          <w:sz w:val="24"/>
          <w:szCs w:val="24"/>
        </w:rPr>
        <w:t xml:space="preserve"> integrity and quality of the RNA were evaluated using Agilent 2100 Bioanalyzer and </w:t>
      </w:r>
      <w:proofErr w:type="spellStart"/>
      <w:r w:rsidRPr="00A83748">
        <w:rPr>
          <w:rFonts w:ascii="Times New Roman" w:hAnsi="Times New Roman" w:cs="Times New Roman"/>
          <w:kern w:val="0"/>
          <w:sz w:val="24"/>
          <w:szCs w:val="24"/>
        </w:rPr>
        <w:t>NanoDrop</w:t>
      </w:r>
      <w:proofErr w:type="spellEnd"/>
      <w:r w:rsidRPr="00A83748">
        <w:rPr>
          <w:rFonts w:ascii="Times New Roman" w:hAnsi="Times New Roman" w:cs="Times New Roman"/>
          <w:kern w:val="0"/>
          <w:sz w:val="24"/>
          <w:szCs w:val="24"/>
        </w:rPr>
        <w:t xml:space="preserve"> spectrophotometer, respectively.</w:t>
      </w:r>
      <w:r w:rsidRPr="00A83748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</w:t>
      </w:r>
      <w:r w:rsidRPr="00A83748">
        <w:rPr>
          <w:rFonts w:ascii="Times New Roman" w:eastAsia="SimSun" w:hAnsi="Times New Roman" w:cs="Times New Roman"/>
          <w:sz w:val="24"/>
          <w:szCs w:val="24"/>
        </w:rPr>
        <w:t>We constructed</w:t>
      </w:r>
      <w:r w:rsidRPr="00A83748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the cDNA library using the </w:t>
      </w:r>
      <w:proofErr w:type="spellStart"/>
      <w:r w:rsidRPr="00A83748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NEBNext</w:t>
      </w:r>
      <w:proofErr w:type="spellEnd"/>
      <w:r w:rsidRPr="00A83748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</w:t>
      </w:r>
      <w:proofErr w:type="spellStart"/>
      <w:r w:rsidRPr="00A83748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UltraRNA</w:t>
      </w:r>
      <w:proofErr w:type="spellEnd"/>
      <w:r w:rsidRPr="00A83748"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 xml:space="preserve"> Library Prep Kit for Illumina (NEB), following standard protocol from the manufacturer.</w:t>
      </w:r>
      <w:r w:rsidRPr="00A83748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A83748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The constructed </w:t>
      </w:r>
      <w:r w:rsidRPr="00A83748">
        <w:rPr>
          <w:rFonts w:ascii="Times New Roman" w:hAnsi="Times New Roman" w:cs="Times New Roman"/>
          <w:sz w:val="24"/>
          <w:szCs w:val="24"/>
        </w:rPr>
        <w:t xml:space="preserve">library was sequenced on </w:t>
      </w:r>
      <w:r w:rsidRPr="00A83748">
        <w:rPr>
          <w:rFonts w:ascii="Times New Roman" w:eastAsia="SimSun" w:hAnsi="Times New Roman" w:cs="Times New Roman"/>
          <w:kern w:val="0"/>
          <w:sz w:val="24"/>
          <w:szCs w:val="24"/>
        </w:rPr>
        <w:t xml:space="preserve">Illumina </w:t>
      </w:r>
      <w:proofErr w:type="spellStart"/>
      <w:r w:rsidRPr="00A83748">
        <w:rPr>
          <w:rFonts w:ascii="Times New Roman" w:eastAsia="SimSun" w:hAnsi="Times New Roman" w:cs="Times New Roman"/>
          <w:kern w:val="0"/>
          <w:sz w:val="24"/>
          <w:szCs w:val="24"/>
        </w:rPr>
        <w:t>HiSeq</w:t>
      </w:r>
      <w:proofErr w:type="spellEnd"/>
      <w:r w:rsidRPr="00A83748">
        <w:rPr>
          <w:rFonts w:ascii="Times New Roman" w:eastAsia="SimSun" w:hAnsi="Times New Roman" w:cs="Times New Roman"/>
          <w:kern w:val="0"/>
          <w:sz w:val="24"/>
          <w:szCs w:val="24"/>
        </w:rPr>
        <w:t xml:space="preserve"> 2000 platform,</w:t>
      </w:r>
      <w:r w:rsidRPr="00A83748">
        <w:rPr>
          <w:rFonts w:ascii="Times New Roman" w:hAnsi="Times New Roman" w:cs="Times New Roman"/>
          <w:sz w:val="24"/>
          <w:szCs w:val="24"/>
        </w:rPr>
        <w:t xml:space="preserve"> generating 150 bp PE reads.</w:t>
      </w:r>
      <w:r w:rsidRPr="00A83748">
        <w:rPr>
          <w:rFonts w:ascii="Times New Roman" w:eastAsia="TimesNewRomanPSMT" w:hAnsi="Times New Roman" w:cs="Times New Roman"/>
          <w:kern w:val="0"/>
          <w:szCs w:val="21"/>
        </w:rPr>
        <w:t xml:space="preserve"> </w:t>
      </w:r>
      <w:r w:rsidRPr="00A83748">
        <w:rPr>
          <w:rFonts w:ascii="Times New Roman" w:hAnsi="Times New Roman" w:cs="Times New Roman"/>
          <w:sz w:val="24"/>
          <w:szCs w:val="24"/>
        </w:rPr>
        <w:t>Clean data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were obtained after filtering out low-quality reads and adaptors, and </w:t>
      </w:r>
      <w:r w:rsidRPr="00A83748">
        <w:rPr>
          <w:rFonts w:ascii="Times New Roman" w:hAnsi="Times New Roman" w:cs="Times New Roman"/>
          <w:sz w:val="24"/>
          <w:szCs w:val="24"/>
        </w:rPr>
        <w:t>assembled using Trinity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&lt;EndNote&gt;&lt;Cite&gt;&lt;Author&gt;Grabherr&lt;/Author&gt;&lt;Year&gt;2011&lt;/Year&gt;&lt;RecNum&gt;8&lt;/RecNum&gt;&lt;DisplayText&gt;[1]&lt;/DisplayText&gt;&lt;record&gt;&lt;rec-number&gt;8&lt;/rec-number&gt;&lt;foreign-keys&gt;&lt;key app="EN" db-id="5s5s2005bz9ex3eswzaxsd9oapewfpezrfve" timestamp="1627993140"&gt;8&lt;/key&gt;&lt;/foreign-keys&gt;&lt;ref-type name="Journal Article"&gt;17&lt;/ref-type&gt;&lt;contributors&gt;&lt;authors&gt;&lt;author&gt;Grabherr, M. G.&lt;/author&gt;&lt;author&gt;Haas, B. J.&lt;/author&gt;&lt;author&gt;Yassour, M.&lt;/author&gt;&lt;author&gt;Levin, J. Z.&lt;/author&gt;&lt;author&gt;Thompson, D. A.&lt;/author&gt;&lt;author&gt;Amit, I.&lt;/author&gt;&lt;author&gt;Adiconis, X.&lt;/author&gt;&lt;author&gt;Fan, L.&lt;/author&gt;&lt;author&gt;Raychowdhury, R.&lt;/author&gt;&lt;author&gt;Zeng, Q.&lt;/author&gt;&lt;/authors&gt;&lt;/contributors&gt;&lt;titles&gt;&lt;title&gt;Full-length transcriptome assembly from RNA-Seq data without a reference genome&lt;/title&gt;&lt;secondary-title&gt;Nature Biotechnology&lt;/secondary-title&gt;&lt;/titles&gt;&lt;periodical&gt;&lt;full-title&gt;Nature Biotechnology&lt;/full-title&gt;&lt;/periodical&gt;&lt;pages&gt;644-652&lt;/pages&gt;&lt;volume&gt;29&lt;/volume&gt;&lt;number&gt;7&lt;/number&gt;&lt;dates&gt;&lt;year&gt;2011&lt;/year&gt;&lt;/dates&gt;&lt;urls&gt;&lt;/urls&gt;&lt;/record&gt;&lt;/Cite&gt;&lt;/EndNote&gt;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A83748">
        <w:rPr>
          <w:rFonts w:ascii="Times New Roman" w:hAnsi="Times New Roman" w:cs="Times New Roman"/>
          <w:sz w:val="24"/>
          <w:szCs w:val="24"/>
        </w:rPr>
        <w:t xml:space="preserve"> (v2.8.3) for subsequent genome annotation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56F25F75" w14:textId="77777777" w:rsidR="003866B8" w:rsidRPr="0012434A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2B44DCBA" w14:textId="77777777" w:rsidR="003866B8" w:rsidRPr="009840AB" w:rsidRDefault="003866B8" w:rsidP="003866B8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  <w:bookmarkStart w:id="2" w:name="_Hlk78904701"/>
      <w:bookmarkStart w:id="3" w:name="_Hlk79068589"/>
      <w:r w:rsidRPr="00332795">
        <w:rPr>
          <w:rFonts w:ascii="Times New Roman" w:hAnsi="Times New Roman" w:cs="Times New Roman"/>
          <w:b/>
          <w:bCs/>
          <w:sz w:val="24"/>
          <w:szCs w:val="24"/>
        </w:rPr>
        <w:t xml:space="preserve"> Methods S</w:t>
      </w:r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9840AB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Gene </w:t>
      </w:r>
      <w:bookmarkStart w:id="4" w:name="_Hlk74674351"/>
      <w:r w:rsidRPr="009840AB">
        <w:rPr>
          <w:rFonts w:ascii="Times New Roman" w:eastAsia="TimesNewRomanPSMT" w:hAnsi="Times New Roman" w:cs="Times New Roman"/>
          <w:kern w:val="0"/>
          <w:sz w:val="24"/>
          <w:szCs w:val="24"/>
        </w:rPr>
        <w:t>duplication</w:t>
      </w:r>
      <w:bookmarkEnd w:id="4"/>
      <w:r w:rsidRPr="009840AB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events and selective pressure analyses</w:t>
      </w:r>
    </w:p>
    <w:bookmarkEnd w:id="3"/>
    <w:p w14:paraId="0BD4A184" w14:textId="0F039D37" w:rsidR="003866B8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We analyzed the tandem replication and segmental replication events in genes from the CYP and TPS families using </w:t>
      </w:r>
      <w:proofErr w:type="spellStart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MCScanX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toolkits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begin"/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instrText xml:space="preserve"> ADDIN EN.CITE &lt;EndNote&gt;&lt;Cite&gt;&lt;Author&gt;Wang&lt;/Author&gt;&lt;Year&gt;2012&lt;/Year&gt;&lt;RecNum&gt;571&lt;/RecNum&gt;&lt;DisplayText&gt;[2]&lt;/DisplayText&gt;&lt;record&gt;&lt;rec-number&gt;571&lt;/rec-number&gt;&lt;foreign-keys&gt;&lt;key app="EN" db-id="rd2patfar2xzd0ef29n59vx6tzp2x02a0vxx"&gt;571&lt;/key&gt;&lt;/foreign-keys&gt;&lt;ref-type name="Journal Article"&gt;17&lt;/ref-type&gt;&lt;contributors&gt;&lt;authors&gt;&lt;author&gt;Wang, Y.&lt;/author&gt;&lt;author&gt;Tang, H.&lt;/author&gt;&lt;author&gt;Debarry, Jeremy D&lt;/author&gt;&lt;author&gt;Tan, X.&lt;/author&gt;&lt;author&gt;Li, J.&lt;/author&gt;&lt;author&gt;Wang, X.&lt;/author&gt;&lt;author&gt;Tae-Ho, Lee&lt;/author&gt;&lt;author&gt;Jin, H.&lt;/author&gt;&lt;author&gt;Barry, M.&lt;/author&gt;&lt;author&gt;Guo, H.&lt;/author&gt;&lt;/authors&gt;&lt;/contributors&gt;&lt;titles&gt;&lt;title&gt;MCScanX: a toolkit for detection and evolutionary analysis of gene synteny and collinearity&lt;/title&gt;&lt;secondary-title&gt;Nucleic Acids Research&lt;/secondary-title&gt;&lt;/titles&gt;&lt;periodical&gt;&lt;full-title&gt;Nucleic Acids Res&lt;/full-title&gt;&lt;abbr-1&gt;Nucleic acids research&lt;/abbr-1&gt;&lt;/periodical&gt;&lt;pages&gt;e49-e49&lt;/pages&gt;&lt;volume&gt;40&lt;/volume&gt;&lt;number&gt;7&lt;/number&gt;&lt;dates&gt;&lt;year&gt;2012&lt;/year&gt;&lt;/dates&gt;&lt;urls&gt;&lt;/urls&gt;&lt;/record&gt;&lt;/Cite&gt;&lt;/EndNote&gt;</w:instrTex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separate"/>
      </w:r>
      <w:r>
        <w:rPr>
          <w:rFonts w:ascii="Times New Roman" w:eastAsia="TimesNewRomanPSMT" w:hAnsi="Times New Roman" w:cs="Times New Roman"/>
          <w:noProof/>
          <w:kern w:val="0"/>
          <w:sz w:val="24"/>
          <w:szCs w:val="24"/>
        </w:rPr>
        <w:t>[2]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end"/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. Two genes from the same CYP or TPS family located on the same chromosome and within 10 genes apart were regarded as tandem duplicated pair. We used the </w:t>
      </w:r>
      <w:proofErr w:type="spellStart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Circos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program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begin"/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instrText xml:space="preserve"> ADDIN EN.CITE &lt;EndNote&gt;&lt;Cite&gt;&lt;Author&gt;Krzywinski&lt;/Author&gt;&lt;Year&gt;2009&lt;/Year&gt;&lt;RecNum&gt;626&lt;/RecNum&gt;&lt;DisplayText&gt;[3]&lt;/DisplayText&gt;&lt;record&gt;&lt;rec-number&gt;626&lt;/rec-number&gt;&lt;foreign-keys&gt;&lt;key app="EN" db-id="rd2patfar2xzd0ef29n59vx6tzp2x02a0vxx"&gt;626&lt;/key&gt;&lt;/foreign-keys&gt;&lt;ref-type name="Journal Article"&gt;17&lt;/ref-type&gt;&lt;contributors&gt;&lt;authors&gt;&lt;author&gt;Krzywinski, Martin&lt;/author&gt;&lt;author&gt;Schein, Jacqueline&lt;/author&gt;&lt;author&gt;Birol, Inanc&lt;/author&gt;&lt;author&gt;Connors, Joseph&lt;/author&gt;&lt;author&gt;Gascoyne, Randy&lt;/author&gt;&lt;author&gt;Horsman, Doug&lt;/author&gt;&lt;author&gt;Jones, Steven J&lt;/author&gt;&lt;author&gt;Marra, Marco A&lt;/author&gt;&lt;/authors&gt;&lt;/contributors&gt;&lt;titles&gt;&lt;title&gt;Circos: an information aesthetic for comparative genomics&lt;/title&gt;&lt;secondary-title&gt;Genome research&lt;/secondary-title&gt;&lt;/titles&gt;&lt;periodical&gt;&lt;full-title&gt;Genome Research&lt;/full-title&gt;&lt;/periodical&gt;&lt;pages&gt;1639-1645&lt;/pages&gt;&lt;volume&gt;19&lt;/volume&gt;&lt;number&gt;9&lt;/number&gt;&lt;dates&gt;&lt;year&gt;2009&lt;/year&gt;&lt;/dates&gt;&lt;isbn&gt;1088-9051&lt;/isbn&gt;&lt;urls&gt;&lt;/urls&gt;&lt;/record&gt;&lt;/Cite&gt;&lt;/EndNote&gt;</w:instrTex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separate"/>
      </w:r>
      <w:r>
        <w:rPr>
          <w:rFonts w:ascii="Times New Roman" w:eastAsia="TimesNewRomanPSMT" w:hAnsi="Times New Roman" w:cs="Times New Roman"/>
          <w:noProof/>
          <w:kern w:val="0"/>
          <w:sz w:val="24"/>
          <w:szCs w:val="24"/>
        </w:rPr>
        <w:t>[3]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end"/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to visualize both tandem duplicated and segmental regions within or among chromosomes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for TPS genes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. The bar plot showing physical locations of CYPs was drew using </w:t>
      </w:r>
      <w:proofErr w:type="spellStart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TBtools</w:t>
      </w:r>
      <w:proofErr w:type="spellEnd"/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begin"/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instrText xml:space="preserve"> ADDIN EN.CITE &lt;EndNote&gt;&lt;Cite&gt;&lt;Author&gt;Chen&lt;/Author&gt;&lt;Year&gt;2020&lt;/Year&gt;&lt;RecNum&gt;4&lt;/RecNum&gt;&lt;DisplayText&gt;[4]&lt;/DisplayText&gt;&lt;record&gt;&lt;rec-number&gt;4&lt;/rec-number&gt;&lt;foreign-keys&gt;&lt;key app="EN" db-id="5s5s2005bz9ex3eswzaxsd9oapewfpezrfve" timestamp="1626944377"&gt;4&lt;/key&gt;&lt;/foreign-keys&gt;&lt;ref-type name="Journal Article"&gt;17&lt;/ref-type&gt;&lt;contributors&gt;&lt;authors&gt;&lt;author&gt;Chen, Chengjie&lt;/author&gt;&lt;author&gt;Chen, Hao&lt;/author&gt;&lt;author&gt;Zhang, Yi&lt;/author&gt;&lt;author&gt;Thomas, Hannah R&lt;/author&gt;&lt;author&gt;Frank, Margaret H&lt;/author&gt;&lt;author&gt;He, Yehua&lt;/author&gt;&lt;author&gt;Xia, Rui&lt;/author&gt;&lt;/authors&gt;&lt;/contributors&gt;&lt;titles&gt;&lt;title&gt;TBtools: an integrative toolkit developed for interactive analyses of big biological data&lt;/title&gt;&lt;secondary-title&gt;Molecular plant&lt;/secondary-title&gt;&lt;/titles&gt;&lt;periodical&gt;&lt;full-title&gt;Molecular plant&lt;/full-title&gt;&lt;/periodical&gt;&lt;pages&gt;1194-1202&lt;/pages&gt;&lt;volume&gt;13&lt;/volume&gt;&lt;number&gt;8&lt;/number&gt;&lt;dates&gt;&lt;year&gt;2020&lt;/year&gt;&lt;/dates&gt;&lt;isbn&gt;1674-2052&lt;/isbn&gt;&lt;urls&gt;&lt;/urls&gt;&lt;/record&gt;&lt;/Cite&gt;&lt;/EndNote&gt;</w:instrTex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separate"/>
      </w:r>
      <w:r>
        <w:rPr>
          <w:rFonts w:ascii="Times New Roman" w:eastAsia="TimesNewRomanPSMT" w:hAnsi="Times New Roman" w:cs="Times New Roman"/>
          <w:noProof/>
          <w:kern w:val="0"/>
          <w:sz w:val="24"/>
          <w:szCs w:val="24"/>
        </w:rPr>
        <w:t>[4]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end"/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. The nonsynonymous and synonymous nucleotide substitutions (</w:t>
      </w:r>
      <w:r w:rsidRPr="00EC3163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Ka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and </w:t>
      </w:r>
      <w:r w:rsidRPr="00EC3163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Ks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) value of duplicated gene pairs were generated using the add </w:t>
      </w:r>
      <w:r w:rsidRPr="00EC3163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Ka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and </w:t>
      </w:r>
      <w:r w:rsidRPr="00EC3163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Ks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to collinearity program in </w:t>
      </w:r>
      <w:proofErr w:type="spellStart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MCScanX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package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begin"/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instrText xml:space="preserve"> ADDIN EN.CITE &lt;EndNote&gt;&lt;Cite&gt;&lt;Author&gt;Wang&lt;/Author&gt;&lt;Year&gt;2012&lt;/Year&gt;&lt;RecNum&gt;571&lt;/RecNum&gt;&lt;DisplayText&gt;[2]&lt;/DisplayText&gt;&lt;record&gt;&lt;rec-number&gt;571&lt;/rec-number&gt;&lt;foreign-keys&gt;&lt;key app="EN" db-id="rd2patfar2xzd0ef29n59vx6tzp2x02a0vxx"&gt;571&lt;/key&gt;&lt;/foreign-keys&gt;&lt;ref-type name="Journal Article"&gt;17&lt;/ref-type&gt;&lt;contributors&gt;&lt;authors&gt;&lt;author&gt;Wang, Y.&lt;/author&gt;&lt;author&gt;Tang, H.&lt;/author&gt;&lt;author&gt;Debarry, Jeremy D&lt;/author&gt;&lt;author&gt;Tan, X.&lt;/author&gt;&lt;author&gt;Li, J.&lt;/author&gt;&lt;author&gt;Wang, X.&lt;/author&gt;&lt;author&gt;Tae-Ho, Lee&lt;/author&gt;&lt;author&gt;Jin, H.&lt;/author&gt;&lt;author&gt;Barry, M.&lt;/author&gt;&lt;author&gt;Guo, H.&lt;/author&gt;&lt;/authors&gt;&lt;/contributors&gt;&lt;titles&gt;&lt;title&gt;MCScanX: a toolkit for detection and evolutionary analysis of gene synteny and collinearity&lt;/title&gt;&lt;secondary-title&gt;Nucleic Acids Research&lt;/secondary-title&gt;&lt;/titles&gt;&lt;periodical&gt;&lt;full-title&gt;Nucleic Acids Res&lt;/full-title&gt;&lt;abbr-1&gt;Nucleic acids research&lt;/abbr-1&gt;&lt;/periodical&gt;&lt;pages&gt;e49-e49&lt;/pages&gt;&lt;volume&gt;40&lt;/volume&gt;&lt;number&gt;7&lt;/number&gt;&lt;dates&gt;&lt;year&gt;2012&lt;/year&gt;&lt;/dates&gt;&lt;urls&gt;&lt;/urls&gt;&lt;/record&gt;&lt;/Cite&gt;&lt;/EndNote&gt;</w:instrTex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separate"/>
      </w:r>
      <w:r>
        <w:rPr>
          <w:rFonts w:ascii="Times New Roman" w:eastAsia="TimesNewRomanPSMT" w:hAnsi="Times New Roman" w:cs="Times New Roman"/>
          <w:noProof/>
          <w:kern w:val="0"/>
          <w:sz w:val="24"/>
          <w:szCs w:val="24"/>
        </w:rPr>
        <w:t>[2]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end"/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. The timing of duplicated events for each gene pairs were further calculated using the formula T = Ks/2λ (λ = 7 × 10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  <w:vertAlign w:val="superscript"/>
        </w:rPr>
        <w:t>−9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).</w:t>
      </w:r>
    </w:p>
    <w:p w14:paraId="7745058A" w14:textId="77777777" w:rsidR="003866B8" w:rsidRPr="009840AB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bookmarkStart w:id="5" w:name="_Hlk78907463"/>
      <w:bookmarkStart w:id="6" w:name="_Hlk79068663"/>
      <w:r w:rsidRPr="00332795">
        <w:rPr>
          <w:rFonts w:ascii="Times New Roman" w:hAnsi="Times New Roman" w:cs="Times New Roman"/>
          <w:b/>
          <w:bCs/>
          <w:sz w:val="24"/>
          <w:szCs w:val="24"/>
        </w:rPr>
        <w:t xml:space="preserve"> Methods S</w:t>
      </w:r>
      <w:bookmarkEnd w:id="5"/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9840AB">
        <w:rPr>
          <w:rFonts w:ascii="Times New Roman" w:hAnsi="Times New Roman" w:cs="Times New Roman"/>
          <w:kern w:val="0"/>
          <w:sz w:val="24"/>
          <w:szCs w:val="24"/>
        </w:rPr>
        <w:t xml:space="preserve">Construction of </w:t>
      </w:r>
      <w:r w:rsidRPr="009840AB">
        <w:rPr>
          <w:rFonts w:ascii="Times New Roman" w:eastAsia="TimesNewRomanPSMT" w:hAnsi="Times New Roman" w:cs="Times New Roman"/>
          <w:kern w:val="0"/>
          <w:sz w:val="24"/>
          <w:szCs w:val="24"/>
        </w:rPr>
        <w:t>CYPs phylogenetic tree and analysis of gene structure</w:t>
      </w:r>
    </w:p>
    <w:bookmarkEnd w:id="6"/>
    <w:p w14:paraId="2DF26F01" w14:textId="24102DEF" w:rsidR="003866B8" w:rsidRPr="00A83748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The 294 </w:t>
      </w:r>
      <w:proofErr w:type="spellStart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RmCYP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protein sequences were aligned with </w:t>
      </w:r>
      <w:r w:rsidRPr="00EC3163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A. thaliana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CYPs by MUSLE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begin"/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instrText xml:space="preserve"> ADDIN EN.CITE &lt;EndNote&gt;&lt;Cite&gt;&lt;Author&gt;Edgar&lt;/Author&gt;&lt;Year&gt;2004&lt;/Year&gt;&lt;RecNum&gt;5&lt;/RecNum&gt;&lt;DisplayText&gt;[5]&lt;/DisplayText&gt;&lt;record&gt;&lt;rec-number&gt;5&lt;/rec-number&gt;&lt;foreign-keys&gt;&lt;key app="EN" db-id="5s5s2005bz9ex3eswzaxsd9oapewfpezrfve" timestamp="1626944672"&gt;5&lt;/key&gt;&lt;/foreign-keys&gt;&lt;ref-type name="Journal Article"&gt;17&lt;/ref-type&gt;&lt;contributors&gt;&lt;authors&gt;&lt;author&gt;Edgar, Robert C&lt;/author&gt;&lt;/authors&gt;&lt;/contributors&gt;&lt;titles&gt;&lt;title&gt;MUSCLE: a multiple sequence alignment method with reduced time and space complexity&lt;/title&gt;&lt;secondary-title&gt;BMC bioinformatics&lt;/secondary-title&gt;&lt;/titles&gt;&lt;periodical&gt;&lt;full-title&gt;BMC bioinformatics&lt;/full-title&gt;&lt;/periodical&gt;&lt;pages&gt;1-19&lt;/pages&gt;&lt;volume&gt;5&lt;/volume&gt;&lt;number&gt;1&lt;/number&gt;&lt;dates&gt;&lt;year&gt;2004&lt;/year&gt;&lt;/dates&gt;&lt;isbn&gt;1471-2105&lt;/isbn&gt;&lt;urls&gt;&lt;/urls&gt;&lt;/record&gt;&lt;/Cite&gt;&lt;/EndNote&gt;</w:instrTex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separate"/>
      </w:r>
      <w:r>
        <w:rPr>
          <w:rFonts w:ascii="Times New Roman" w:eastAsia="TimesNewRomanPSMT" w:hAnsi="Times New Roman" w:cs="Times New Roman"/>
          <w:noProof/>
          <w:kern w:val="0"/>
          <w:sz w:val="24"/>
          <w:szCs w:val="24"/>
        </w:rPr>
        <w:t>[5]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end"/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using default parameters. The maximum-likelihood (ML) phylogenetic tree was constructed using </w:t>
      </w:r>
      <w:proofErr w:type="spellStart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FastTree</w:t>
      </w:r>
      <w:proofErr w:type="spellEnd"/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(</w:t>
      </w:r>
      <w:r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t>v</w:t>
      </w:r>
      <w:r w:rsidRPr="00A83748"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t>2.1.7</w:t>
      </w:r>
      <w:r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t>)</w:t>
      </w:r>
      <w:r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fldChar w:fldCharType="begin"/>
      </w:r>
      <w:r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instrText xml:space="preserve"> ADDIN EN.CITE &lt;EndNote&gt;&lt;Cite&gt;&lt;Author&gt;Price&lt;/Author&gt;&lt;Year&gt;2010&lt;/Year&gt;&lt;RecNum&gt;599&lt;/RecNum&gt;&lt;DisplayText&gt;[6]&lt;/DisplayText&gt;&lt;record&gt;&lt;rec-number&gt;599&lt;/rec-number&gt;&lt;foreign-keys&gt;&lt;key app="EN" db-id="rd2patfar2xzd0ef29n59vx6tzp2x02a0vxx"&gt;599&lt;/key&gt;&lt;/foreign-keys&gt;&lt;ref-type name="Journal Article"&gt;17&lt;/ref-type&gt;&lt;contributors&gt;&lt;authors&gt;&lt;author&gt;Price, Morgan N&lt;/author&gt;&lt;author&gt;Dehal, Paramvir S&lt;/author&gt;&lt;author&gt;Arkin, Adam P&lt;/author&gt;&lt;/authors&gt;&lt;/contributors&gt;&lt;titles&gt;&lt;title&gt;FastTree 2–approximately maximum-likelihood trees for large alignments&lt;/title&gt;&lt;secondary-title&gt;PloS one&lt;/secondary-title&gt;&lt;/titles&gt;&lt;periodical&gt;&lt;full-title&gt;PLoS One&lt;/full-title&gt;&lt;abbr-1&gt;PloS one&lt;/abbr-1&gt;&lt;/periodical&gt;&lt;pages&gt;e9490&lt;/pages&gt;&lt;volume&gt;5&lt;/volume&gt;&lt;number&gt;3&lt;/number&gt;&lt;dates&gt;&lt;year&gt;2010&lt;/year&gt;&lt;/dates&gt;&lt;isbn&gt;1932-6203&lt;/isbn&gt;&lt;urls&gt;&lt;/urls&gt;&lt;/record&gt;&lt;/Cite&gt;&lt;/EndNote&gt;</w:instrText>
      </w:r>
      <w:r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fldChar w:fldCharType="separate"/>
      </w:r>
      <w:r>
        <w:rPr>
          <w:rFonts w:ascii="Times New Roman" w:eastAsia="TimesNewRomanPSMT" w:hAnsi="Times New Roman" w:cs="Times New Roman"/>
          <w:bCs/>
          <w:noProof/>
          <w:kern w:val="0"/>
          <w:sz w:val="24"/>
          <w:szCs w:val="24"/>
        </w:rPr>
        <w:t>[6]</w:t>
      </w:r>
      <w:r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fldChar w:fldCharType="end"/>
      </w:r>
      <w:r w:rsidRPr="00A83748"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t xml:space="preserve"> 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with JTT substitution model and the robustness/accuracy of tree topology was evaluated by 1000 bootstrap replicates. Interactive Tree of Life (</w:t>
      </w:r>
      <w:proofErr w:type="spellStart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iTOL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)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begin"/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instrText xml:space="preserve"> ADDIN EN.CITE &lt;EndNote&gt;&lt;Cite&gt;&lt;Author&gt;Letunic&lt;/Author&gt;&lt;Year&gt;2016&lt;/Year&gt;&lt;RecNum&gt;627&lt;/RecNum&gt;&lt;DisplayText&gt;[7]&lt;/DisplayText&gt;&lt;record&gt;&lt;rec-number&gt;627&lt;/rec-number&gt;&lt;foreign-keys&gt;&lt;key app="EN" db-id="rd2patfar2xzd0ef29n59vx6tzp2x02a0vxx"&gt;627&lt;/key&gt;&lt;/foreign-keys&gt;&lt;ref-type name="Journal Article"&gt;17&lt;/ref-type&gt;&lt;contributors&gt;&lt;authors&gt;&lt;author&gt;Letunic, Ivica&lt;/author&gt;&lt;author&gt;Bork, Peer&lt;/author&gt;&lt;/authors&gt;&lt;/contributors&gt;&lt;titles&gt;&lt;title&gt;Interactive tree of life (iTOL) v3: an online tool for the display and annotation of phylogenetic and other trees&lt;/title&gt;&lt;secondary-title&gt;Nucleic acids research&lt;/secondary-title&gt;&lt;/titles&gt;&lt;periodical&gt;&lt;full-title&gt;Nucleic Acids Res&lt;/full-title&gt;&lt;abbr-1&gt;Nucleic acids research&lt;/abbr-1&gt;&lt;/periodical&gt;&lt;pages&gt;W242-W245&lt;/pages&gt;&lt;volume&gt;44&lt;/volume&gt;&lt;number&gt;W1&lt;/number&gt;&lt;dates&gt;&lt;year&gt;2016&lt;/year&gt;&lt;/dates&gt;&lt;isbn&gt;0305-1048&lt;/isbn&gt;&lt;urls&gt;&lt;/urls&gt;&lt;/record&gt;&lt;/Cite&gt;&lt;/EndNote&gt;</w:instrTex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separate"/>
      </w:r>
      <w:r>
        <w:rPr>
          <w:rFonts w:ascii="Times New Roman" w:eastAsia="TimesNewRomanPSMT" w:hAnsi="Times New Roman" w:cs="Times New Roman"/>
          <w:noProof/>
          <w:kern w:val="0"/>
          <w:sz w:val="24"/>
          <w:szCs w:val="24"/>
        </w:rPr>
        <w:t>[7]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end"/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was used to visualized the ML tree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>.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The phylogenetic tree of CYP71 candidates from </w:t>
      </w:r>
      <w:r w:rsidRPr="00A83748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A. thaliana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, </w:t>
      </w:r>
      <w:r w:rsidRPr="00A83748">
        <w:rPr>
          <w:rFonts w:ascii="Times New Roman" w:hAnsi="Times New Roman" w:cs="Times New Roman"/>
          <w:bCs/>
          <w:i/>
          <w:color w:val="000000" w:themeColor="text1"/>
          <w:kern w:val="0"/>
          <w:sz w:val="24"/>
          <w:szCs w:val="24"/>
        </w:rPr>
        <w:t>C. sativus</w:t>
      </w:r>
      <w:r>
        <w:rPr>
          <w:rFonts w:ascii="Times New Roman" w:hAnsi="Times New Roman" w:cs="Times New Roman"/>
          <w:bCs/>
          <w:iCs/>
          <w:color w:val="000000" w:themeColor="text1"/>
          <w:kern w:val="0"/>
          <w:sz w:val="24"/>
          <w:szCs w:val="24"/>
        </w:rPr>
        <w:t>,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</w:t>
      </w:r>
      <w:r w:rsidRPr="00A83748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 xml:space="preserve">R. </w:t>
      </w:r>
      <w:proofErr w:type="spellStart"/>
      <w:r w:rsidRPr="00A83748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simsii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, </w:t>
      </w:r>
      <w:r w:rsidRPr="00A83748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 xml:space="preserve">R. </w:t>
      </w:r>
      <w:proofErr w:type="spellStart"/>
      <w:r w:rsidRPr="00A83748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williamsianum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, </w:t>
      </w:r>
      <w:r w:rsidRPr="00A83748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 xml:space="preserve">R. </w:t>
      </w:r>
      <w:proofErr w:type="spellStart"/>
      <w:r w:rsidRPr="00A83748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delavayi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and </w:t>
      </w:r>
      <w:r w:rsidRPr="00A83748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 xml:space="preserve">R. </w:t>
      </w:r>
      <w:proofErr w:type="spellStart"/>
      <w:r w:rsidRPr="00A83748">
        <w:rPr>
          <w:rFonts w:ascii="Times New Roman" w:eastAsia="TimesNewRomanPSMT" w:hAnsi="Times New Roman" w:cs="Times New Roman"/>
          <w:i/>
          <w:iCs/>
          <w:kern w:val="0"/>
          <w:sz w:val="24"/>
          <w:szCs w:val="24"/>
        </w:rPr>
        <w:t>molle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was constructed 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>using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the same 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>method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. </w:t>
      </w:r>
      <w:r w:rsidRPr="0057745C"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t xml:space="preserve">The MEME web </w:t>
      </w:r>
      <w:r w:rsidRPr="0057745C"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lastRenderedPageBreak/>
        <w:t xml:space="preserve">platform (http://meme-suite.org/tools/meme) was employed to detected conserved protein motifs among </w:t>
      </w:r>
      <w:proofErr w:type="spellStart"/>
      <w:r w:rsidRPr="0057745C"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t>RmCYPs</w:t>
      </w:r>
      <w:proofErr w:type="spellEnd"/>
      <w:r w:rsidRPr="0057745C">
        <w:rPr>
          <w:rFonts w:ascii="Times New Roman" w:eastAsia="TimesNewRomanPSMT" w:hAnsi="Times New Roman" w:cs="Times New Roman"/>
          <w:bCs/>
          <w:kern w:val="0"/>
          <w:sz w:val="24"/>
          <w:szCs w:val="24"/>
        </w:rPr>
        <w:t xml:space="preserve"> with the following parameters: motifs number as 30, motif width range as 8 to 30</w:t>
      </w:r>
      <w:r>
        <w:rPr>
          <w:rFonts w:ascii="SimSun" w:eastAsia="SimSun" w:hAnsi="SimSun" w:cs="SimSun" w:hint="eastAsia"/>
          <w:bCs/>
          <w:kern w:val="0"/>
          <w:sz w:val="24"/>
          <w:szCs w:val="24"/>
        </w:rPr>
        <w:t>.</w:t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The GFF3 (Generic Feature Format version 3) annotation file of </w:t>
      </w:r>
      <w:r w:rsidRPr="00CE78C4">
        <w:rPr>
          <w:rFonts w:ascii="Times New Roman" w:eastAsia="TimesNewRomanPSMT" w:hAnsi="Times New Roman" w:cs="Times New Roman"/>
          <w:i/>
          <w:kern w:val="0"/>
          <w:sz w:val="24"/>
          <w:szCs w:val="24"/>
        </w:rPr>
        <w:t xml:space="preserve">R. </w:t>
      </w:r>
      <w:proofErr w:type="spellStart"/>
      <w:r w:rsidRPr="00CE78C4">
        <w:rPr>
          <w:rFonts w:ascii="Times New Roman" w:eastAsia="TimesNewRomanPSMT" w:hAnsi="Times New Roman" w:cs="Times New Roman"/>
          <w:i/>
          <w:kern w:val="0"/>
          <w:sz w:val="24"/>
          <w:szCs w:val="24"/>
        </w:rPr>
        <w:t>molle</w:t>
      </w:r>
      <w:proofErr w:type="spellEnd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genome was analyzed by </w:t>
      </w:r>
      <w:proofErr w:type="spellStart"/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>TBtools</w:t>
      </w:r>
      <w:proofErr w:type="spellEnd"/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begin"/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instrText xml:space="preserve"> ADDIN EN.CITE &lt;EndNote&gt;&lt;Cite&gt;&lt;Author&gt;Chen&lt;/Author&gt;&lt;Year&gt;2020&lt;/Year&gt;&lt;RecNum&gt;4&lt;/RecNum&gt;&lt;DisplayText&gt;[4]&lt;/DisplayText&gt;&lt;record&gt;&lt;rec-number&gt;4&lt;/rec-number&gt;&lt;foreign-keys&gt;&lt;key app="EN" db-id="5s5s2005bz9ex3eswzaxsd9oapewfpezrfve" timestamp="1626944377"&gt;4&lt;/key&gt;&lt;/foreign-keys&gt;&lt;ref-type name="Journal Article"&gt;17&lt;/ref-type&gt;&lt;contributors&gt;&lt;authors&gt;&lt;author&gt;Chen, Chengjie&lt;/author&gt;&lt;author&gt;Chen, Hao&lt;/author&gt;&lt;author&gt;Zhang, Yi&lt;/author&gt;&lt;author&gt;Thomas, Hannah R&lt;/author&gt;&lt;author&gt;Frank, Margaret H&lt;/author&gt;&lt;author&gt;He, Yehua&lt;/author&gt;&lt;author&gt;Xia, Rui&lt;/author&gt;&lt;/authors&gt;&lt;/contributors&gt;&lt;titles&gt;&lt;title&gt;TBtools: an integrative toolkit developed for interactive analyses of big biological data&lt;/title&gt;&lt;secondary-title&gt;Molecular plant&lt;/secondary-title&gt;&lt;/titles&gt;&lt;periodical&gt;&lt;full-title&gt;Molecular plant&lt;/full-title&gt;&lt;/periodical&gt;&lt;pages&gt;1194-1202&lt;/pages&gt;&lt;volume&gt;13&lt;/volume&gt;&lt;number&gt;8&lt;/number&gt;&lt;dates&gt;&lt;year&gt;2020&lt;/year&gt;&lt;/dates&gt;&lt;isbn&gt;1674-2052&lt;/isbn&gt;&lt;urls&gt;&lt;/urls&gt;&lt;/record&gt;&lt;/Cite&gt;&lt;/EndNote&gt;</w:instrTex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separate"/>
      </w:r>
      <w:r>
        <w:rPr>
          <w:rFonts w:ascii="Times New Roman" w:eastAsia="TimesNewRomanPSMT" w:hAnsi="Times New Roman" w:cs="Times New Roman"/>
          <w:noProof/>
          <w:kern w:val="0"/>
          <w:sz w:val="24"/>
          <w:szCs w:val="24"/>
        </w:rPr>
        <w:t>[4]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end"/>
      </w:r>
      <w:r w:rsidRPr="00A8374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for gene structure visualization, the intron phases distribution of each CYP genes were also determined.</w:t>
      </w:r>
    </w:p>
    <w:p w14:paraId="4899342F" w14:textId="77777777" w:rsidR="003866B8" w:rsidRPr="003F3713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3873B91B" w14:textId="77777777" w:rsidR="003866B8" w:rsidRPr="003866B8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kern w:val="0"/>
          <w:sz w:val="24"/>
          <w:szCs w:val="24"/>
        </w:rPr>
      </w:pPr>
    </w:p>
    <w:p w14:paraId="4A9105F8" w14:textId="77777777" w:rsidR="003866B8" w:rsidRPr="009840AB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28"/>
          <w:szCs w:val="28"/>
        </w:rPr>
      </w:pPr>
      <w:bookmarkStart w:id="7" w:name="_Hlk79068624"/>
      <w:r w:rsidRPr="00332795">
        <w:rPr>
          <w:rFonts w:ascii="Times New Roman" w:hAnsi="Times New Roman" w:cs="Times New Roman"/>
          <w:b/>
          <w:bCs/>
          <w:sz w:val="24"/>
          <w:szCs w:val="24"/>
        </w:rPr>
        <w:t xml:space="preserve"> Methods S</w:t>
      </w: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9840AB">
        <w:rPr>
          <w:rFonts w:ascii="Times New Roman" w:hAnsi="Times New Roman" w:cs="Times New Roman"/>
          <w:sz w:val="24"/>
          <w:szCs w:val="24"/>
        </w:rPr>
        <w:t xml:space="preserve"> </w:t>
      </w:r>
      <w:r w:rsidRPr="009840AB">
        <w:rPr>
          <w:rFonts w:ascii="Times New Roman" w:hAnsi="Times New Roman" w:cs="Times New Roman"/>
          <w:kern w:val="0"/>
          <w:sz w:val="24"/>
          <w:szCs w:val="24"/>
        </w:rPr>
        <w:t>Gas chromatographic-mass spectrometric analysis</w:t>
      </w:r>
      <w:bookmarkEnd w:id="7"/>
      <w:r w:rsidRPr="009840A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389EC7AC" w14:textId="77777777" w:rsidR="003866B8" w:rsidRDefault="003866B8" w:rsidP="003866B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83748">
        <w:rPr>
          <w:rFonts w:ascii="Times New Roman" w:hAnsi="Times New Roman" w:cs="Times New Roman"/>
          <w:kern w:val="0"/>
          <w:sz w:val="24"/>
          <w:szCs w:val="24"/>
        </w:rPr>
        <w:t>GC analyses were performed on a Shimadzu GCMS-QP-2020 using SH-Rxi-5SilMS column (30m*0.25μm*0.25mm), the GC was coupled to a triple quadrupole detector. Helium was used as the carrier gas with 1.6mL /min flow rate. The injection volume wa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s </w:t>
      </w:r>
      <w:r w:rsidRPr="00A83748">
        <w:rPr>
          <w:rFonts w:ascii="Times New Roman" w:hAnsi="Times New Roman" w:cs="Times New Roman"/>
          <w:kern w:val="0"/>
          <w:sz w:val="24"/>
          <w:szCs w:val="24"/>
        </w:rPr>
        <w:t xml:space="preserve">1μL at 280°C in spitless mode. For diterpene analysis, the GC program was as follow: </w:t>
      </w:r>
      <w:bookmarkStart w:id="8" w:name="_Hlk71657653"/>
      <w:r w:rsidRPr="00A83748">
        <w:rPr>
          <w:rFonts w:ascii="Times New Roman" w:hAnsi="Times New Roman" w:cs="Times New Roman"/>
          <w:kern w:val="0"/>
          <w:sz w:val="24"/>
          <w:szCs w:val="24"/>
        </w:rPr>
        <w:t>50°C, hold for 2 min, ramp at rate 10°C /min to 280°C, and hold for 15 min</w:t>
      </w:r>
      <w:bookmarkEnd w:id="8"/>
      <w:r w:rsidRPr="00A83748">
        <w:rPr>
          <w:rFonts w:ascii="Times New Roman" w:hAnsi="Times New Roman" w:cs="Times New Roman"/>
          <w:kern w:val="0"/>
          <w:sz w:val="24"/>
          <w:szCs w:val="24"/>
        </w:rPr>
        <w:t xml:space="preserve">. MS data in the range from 60 to 650 mass-to-charge ratio (m/z) were collected after 3 min solvent delay. </w:t>
      </w:r>
    </w:p>
    <w:p w14:paraId="3E5EDD63" w14:textId="77777777" w:rsidR="003866B8" w:rsidRPr="00A83748" w:rsidRDefault="003866B8" w:rsidP="003866B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shd w:val="pct15" w:color="auto" w:fill="FFFFFF"/>
        </w:rPr>
      </w:pPr>
    </w:p>
    <w:p w14:paraId="585FF8E1" w14:textId="77777777" w:rsidR="003866B8" w:rsidRPr="004546AC" w:rsidRDefault="003866B8" w:rsidP="003866B8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bookmarkStart w:id="9" w:name="_Hlk79068645"/>
      <w:r w:rsidRPr="00332795">
        <w:rPr>
          <w:rFonts w:ascii="Times New Roman" w:hAnsi="Times New Roman" w:cs="Times New Roman"/>
          <w:b/>
          <w:bCs/>
          <w:sz w:val="24"/>
          <w:szCs w:val="24"/>
        </w:rPr>
        <w:t xml:space="preserve"> Methods S</w:t>
      </w: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9840AB">
        <w:rPr>
          <w:rFonts w:ascii="Times New Roman" w:hAnsi="Times New Roman" w:cs="Times New Roman"/>
          <w:sz w:val="24"/>
          <w:szCs w:val="24"/>
        </w:rPr>
        <w:t xml:space="preserve"> </w:t>
      </w:r>
      <w:r w:rsidRPr="009840AB">
        <w:rPr>
          <w:rFonts w:ascii="Times New Roman" w:hAnsi="Times New Roman" w:cs="Times New Roman"/>
          <w:kern w:val="0"/>
          <w:sz w:val="24"/>
          <w:szCs w:val="24"/>
        </w:rPr>
        <w:t>Product purification and structure identification</w:t>
      </w:r>
    </w:p>
    <w:bookmarkEnd w:id="9"/>
    <w:p w14:paraId="74DBA860" w14:textId="77777777" w:rsidR="003866B8" w:rsidRPr="006E6C20" w:rsidRDefault="003866B8" w:rsidP="003866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8</w:t>
      </w:r>
      <w:r w:rsidRPr="00A83748">
        <w:rPr>
          <w:rFonts w:ascii="Times New Roman" w:hAnsi="Times New Roman" w:cs="Times New Roman"/>
          <w:kern w:val="0"/>
          <w:sz w:val="24"/>
          <w:szCs w:val="24"/>
        </w:rPr>
        <w:t xml:space="preserve"> L fermentation including both cell pellets and the culture media was extract with twice volume hexane, crude extracts were separated by preparative high performance liquid chromatography</w:t>
      </w:r>
      <w:r w:rsidRPr="00A83748">
        <w:rPr>
          <w:rFonts w:ascii="Times New Roman" w:hAnsi="Times New Roman" w:cs="Times New Roman"/>
        </w:rPr>
        <w:t xml:space="preserve"> </w:t>
      </w:r>
      <w:r w:rsidRPr="00A83748">
        <w:rPr>
          <w:rFonts w:ascii="Times New Roman" w:hAnsi="Times New Roman" w:cs="Times New Roman"/>
          <w:kern w:val="0"/>
          <w:sz w:val="24"/>
          <w:szCs w:val="24"/>
        </w:rPr>
        <w:t xml:space="preserve">equipped with </w:t>
      </w:r>
      <w:proofErr w:type="spellStart"/>
      <w:r w:rsidRPr="00A83748">
        <w:rPr>
          <w:rFonts w:ascii="Times New Roman" w:hAnsi="Times New Roman" w:cs="Times New Roman"/>
          <w:kern w:val="0"/>
          <w:sz w:val="24"/>
          <w:szCs w:val="24"/>
        </w:rPr>
        <w:t>Shimadazu</w:t>
      </w:r>
      <w:proofErr w:type="spellEnd"/>
      <w:r w:rsidRPr="00A83748">
        <w:rPr>
          <w:rFonts w:ascii="Times New Roman" w:hAnsi="Times New Roman" w:cs="Times New Roman"/>
          <w:kern w:val="0"/>
          <w:sz w:val="24"/>
          <w:szCs w:val="24"/>
        </w:rPr>
        <w:t xml:space="preserve"> LC-6AD instrument (SPD-20A and RID-10A detectors) (Shimadzu Corporation, Kyoto, Japan). A YMC ODS column (C18, 250 × 20 mm, 5μm) was used with the following two programs (primary preparation: 0-50 min </w:t>
      </w:r>
      <w:bookmarkStart w:id="10" w:name="_Hlk71651655"/>
      <w:bookmarkStart w:id="11" w:name="_Hlk71652090"/>
      <w:r w:rsidRPr="00A83748">
        <w:rPr>
          <w:rFonts w:ascii="Times New Roman" w:hAnsi="Times New Roman" w:cs="Times New Roman"/>
          <w:kern w:val="0"/>
          <w:sz w:val="24"/>
          <w:szCs w:val="24"/>
        </w:rPr>
        <w:t>A: 90% CH</w:t>
      </w:r>
      <w:r w:rsidRPr="00A83748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r w:rsidRPr="00A83748">
        <w:rPr>
          <w:rFonts w:ascii="Times New Roman" w:hAnsi="Times New Roman" w:cs="Times New Roman"/>
          <w:kern w:val="0"/>
          <w:sz w:val="24"/>
          <w:szCs w:val="24"/>
        </w:rPr>
        <w:t xml:space="preserve">OH B: </w:t>
      </w:r>
      <w:bookmarkEnd w:id="10"/>
      <w:r w:rsidRPr="00A83748">
        <w:rPr>
          <w:rFonts w:ascii="Times New Roman" w:hAnsi="Times New Roman" w:cs="Times New Roman"/>
          <w:kern w:val="0"/>
          <w:sz w:val="24"/>
          <w:szCs w:val="24"/>
        </w:rPr>
        <w:t>10% ddH2O</w:t>
      </w:r>
      <w:bookmarkEnd w:id="11"/>
      <w:r w:rsidRPr="00A83748">
        <w:rPr>
          <w:rFonts w:ascii="Times New Roman" w:hAnsi="Times New Roman" w:cs="Times New Roman"/>
          <w:kern w:val="0"/>
          <w:sz w:val="24"/>
          <w:szCs w:val="24"/>
        </w:rPr>
        <w:t>, 3.5 ml/min; second preparation:</w:t>
      </w:r>
      <w:r w:rsidRPr="00A83748">
        <w:rPr>
          <w:rFonts w:ascii="Times New Roman" w:hAnsi="Times New Roman" w:cs="Times New Roman"/>
        </w:rPr>
        <w:t xml:space="preserve"> </w:t>
      </w:r>
      <w:r w:rsidRPr="00A83748">
        <w:rPr>
          <w:rFonts w:ascii="Times New Roman" w:hAnsi="Times New Roman" w:cs="Times New Roman"/>
          <w:kern w:val="0"/>
          <w:sz w:val="24"/>
          <w:szCs w:val="24"/>
        </w:rPr>
        <w:t>0-50 min A: 85% ACN B: 15% ddH2O, 3.5 ml/min).</w:t>
      </w:r>
      <w:r w:rsidRPr="00A83748">
        <w:rPr>
          <w:rFonts w:ascii="Times New Roman" w:hAnsi="Times New Roman" w:cs="Times New Roman"/>
        </w:rPr>
        <w:t xml:space="preserve"> </w:t>
      </w:r>
      <w:r w:rsidRPr="00A83748">
        <w:rPr>
          <w:rFonts w:ascii="Times New Roman" w:hAnsi="Times New Roman" w:cs="Times New Roman"/>
          <w:sz w:val="24"/>
          <w:szCs w:val="24"/>
        </w:rPr>
        <w:t>The</w:t>
      </w:r>
      <w:r w:rsidRPr="00A83748">
        <w:rPr>
          <w:rFonts w:ascii="Times New Roman" w:hAnsi="Times New Roman" w:cs="Times New Roman"/>
        </w:rPr>
        <w:t xml:space="preserve"> </w:t>
      </w:r>
      <w:r w:rsidRPr="00A83748">
        <w:rPr>
          <w:rFonts w:ascii="Times New Roman" w:hAnsi="Times New Roman" w:cs="Times New Roman"/>
          <w:sz w:val="24"/>
          <w:szCs w:val="24"/>
        </w:rPr>
        <w:t xml:space="preserve">purified products were dissolved in deuterated </w:t>
      </w:r>
      <w:r w:rsidRPr="00A83748">
        <w:rPr>
          <w:rFonts w:ascii="Times New Roman" w:hAnsi="Times New Roman" w:cs="Times New Roman"/>
          <w:bCs/>
          <w:sz w:val="24"/>
          <w:szCs w:val="24"/>
        </w:rPr>
        <w:t>pyridine</w:t>
      </w:r>
      <w:r w:rsidRPr="00A83748">
        <w:rPr>
          <w:rFonts w:ascii="Times New Roman" w:hAnsi="Times New Roman" w:cs="Times New Roman"/>
          <w:sz w:val="24"/>
          <w:szCs w:val="24"/>
        </w:rPr>
        <w:t xml:space="preserve"> (</w:t>
      </w:r>
      <w:r w:rsidRPr="00A83748">
        <w:rPr>
          <w:rFonts w:ascii="Times New Roman" w:hAnsi="Times New Roman" w:cs="Times New Roman"/>
          <w:bCs/>
          <w:sz w:val="24"/>
          <w:szCs w:val="24"/>
        </w:rPr>
        <w:t>C5D5N</w:t>
      </w:r>
      <w:r w:rsidRPr="00A83748">
        <w:rPr>
          <w:rFonts w:ascii="Times New Roman" w:hAnsi="Times New Roman" w:cs="Times New Roman"/>
          <w:sz w:val="24"/>
          <w:szCs w:val="24"/>
        </w:rPr>
        <w:t>; Sigma-Aldrich)</w:t>
      </w:r>
      <w:r w:rsidRPr="00A837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83748">
        <w:rPr>
          <w:rFonts w:ascii="Times New Roman" w:hAnsi="Times New Roman" w:cs="Times New Roman"/>
          <w:sz w:val="24"/>
          <w:szCs w:val="24"/>
        </w:rPr>
        <w:t xml:space="preserve">containing </w:t>
      </w:r>
      <w:proofErr w:type="spellStart"/>
      <w:r w:rsidRPr="00A83748">
        <w:rPr>
          <w:rFonts w:ascii="Times New Roman" w:hAnsi="Times New Roman" w:cs="Times New Roman"/>
          <w:sz w:val="24"/>
          <w:szCs w:val="24"/>
        </w:rPr>
        <w:t>tetramethylsilane</w:t>
      </w:r>
      <w:proofErr w:type="spellEnd"/>
      <w:r w:rsidRPr="00A83748">
        <w:rPr>
          <w:rFonts w:ascii="Times New Roman" w:hAnsi="Times New Roman" w:cs="Times New Roman"/>
          <w:sz w:val="24"/>
          <w:szCs w:val="24"/>
        </w:rPr>
        <w:t xml:space="preserve"> (TMS). NMR spectra were recorded at </w:t>
      </w:r>
      <w:r w:rsidRPr="00A83748">
        <w:rPr>
          <w:rFonts w:ascii="Times New Roman" w:hAnsi="Times New Roman" w:cs="Times New Roman"/>
          <w:bCs/>
          <w:sz w:val="24"/>
          <w:szCs w:val="24"/>
        </w:rPr>
        <w:t>25 °C</w:t>
      </w:r>
      <w:r w:rsidRPr="00A83748">
        <w:rPr>
          <w:rFonts w:ascii="Times New Roman" w:hAnsi="Times New Roman" w:cs="Times New Roman"/>
          <w:sz w:val="24"/>
          <w:szCs w:val="24"/>
        </w:rPr>
        <w:t xml:space="preserve"> on a INOVA 600 NMR spectrometer</w:t>
      </w:r>
      <w:r w:rsidRPr="00A83748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Pr="00A83748">
        <w:rPr>
          <w:rFonts w:ascii="Times New Roman" w:hAnsi="Times New Roman" w:cs="Times New Roman"/>
          <w:sz w:val="24"/>
          <w:szCs w:val="24"/>
        </w:rPr>
        <w:t>(Varian, California, USA).</w:t>
      </w:r>
    </w:p>
    <w:p w14:paraId="29D76682" w14:textId="77777777" w:rsidR="003866B8" w:rsidRPr="00FB62E5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b/>
          <w:bCs/>
          <w:kern w:val="0"/>
          <w:sz w:val="28"/>
          <w:szCs w:val="28"/>
        </w:rPr>
      </w:pPr>
      <w:r w:rsidRPr="00C839C4">
        <w:rPr>
          <w:rFonts w:ascii="Times New Roman" w:eastAsia="TimesNewRomanPSMT" w:hAnsi="Times New Roman" w:cs="Times New Roman" w:hint="eastAsia"/>
          <w:b/>
          <w:bCs/>
          <w:kern w:val="0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b/>
          <w:bCs/>
          <w:kern w:val="0"/>
          <w:sz w:val="28"/>
          <w:szCs w:val="28"/>
        </w:rPr>
        <w:t>S</w:t>
      </w:r>
      <w:r>
        <w:rPr>
          <w:rFonts w:ascii="Times New Roman" w:eastAsia="TimesNewRomanPSMT" w:hAnsi="Times New Roman" w:cs="Times New Roman" w:hint="eastAsia"/>
          <w:b/>
          <w:bCs/>
          <w:kern w:val="0"/>
          <w:sz w:val="28"/>
          <w:szCs w:val="28"/>
        </w:rPr>
        <w:t>upporting</w:t>
      </w:r>
      <w:r>
        <w:rPr>
          <w:rFonts w:ascii="Times New Roman" w:eastAsia="TimesNewRomanPSMT" w:hAnsi="Times New Roman" w:cs="Times New Roman"/>
          <w:b/>
          <w:bCs/>
          <w:kern w:val="0"/>
          <w:sz w:val="28"/>
          <w:szCs w:val="28"/>
        </w:rPr>
        <w:t xml:space="preserve"> </w:t>
      </w:r>
      <w:r w:rsidRPr="00FB62E5">
        <w:rPr>
          <w:rFonts w:ascii="Times New Roman" w:eastAsia="TimesNewRomanPSMT" w:hAnsi="Times New Roman" w:cs="Times New Roman" w:hint="eastAsia"/>
          <w:b/>
          <w:bCs/>
          <w:kern w:val="0"/>
          <w:sz w:val="28"/>
          <w:szCs w:val="28"/>
        </w:rPr>
        <w:t>References</w:t>
      </w:r>
    </w:p>
    <w:p w14:paraId="661B420A" w14:textId="77777777" w:rsidR="003866B8" w:rsidRPr="003866B8" w:rsidRDefault="003866B8" w:rsidP="003866B8">
      <w:pPr>
        <w:pStyle w:val="EndNoteBibliography"/>
      </w:pPr>
      <w:r w:rsidRPr="00071257"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begin"/>
      </w:r>
      <w:r w:rsidRPr="00071257">
        <w:rPr>
          <w:rFonts w:ascii="Times New Roman" w:eastAsia="TimesNewRomanPSMT" w:hAnsi="Times New Roman" w:cs="Times New Roman"/>
          <w:kern w:val="0"/>
          <w:sz w:val="24"/>
          <w:szCs w:val="24"/>
        </w:rPr>
        <w:instrText xml:space="preserve"> ADDIN EN.REFLIST </w:instrText>
      </w:r>
      <w:r w:rsidRPr="00071257"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separate"/>
      </w:r>
      <w:r w:rsidRPr="003866B8">
        <w:t>1.</w:t>
      </w:r>
      <w:r w:rsidRPr="003866B8">
        <w:tab/>
        <w:t>Grabherr MG, Haas BJ, Yassour M, Levin JZ, Thompson DA, Amit I, et al. Full-length transcriptome assembly from RNA-Seq data without a reference genome. Nature Biotechnology. 2011;29(7):644-52.</w:t>
      </w:r>
    </w:p>
    <w:p w14:paraId="6BFF0C5C" w14:textId="77777777" w:rsidR="003866B8" w:rsidRPr="003866B8" w:rsidRDefault="003866B8" w:rsidP="003866B8">
      <w:pPr>
        <w:pStyle w:val="EndNoteBibliography"/>
      </w:pPr>
      <w:r w:rsidRPr="003866B8">
        <w:t>2.</w:t>
      </w:r>
      <w:r w:rsidRPr="003866B8">
        <w:tab/>
        <w:t xml:space="preserve">Wang Y, Tang H, Debarry JD, Tan X, Li J, Wang X, et al. MCScanX: a toolkit for detection and </w:t>
      </w:r>
      <w:r w:rsidRPr="003866B8">
        <w:lastRenderedPageBreak/>
        <w:t>evolutionary analysis of gene synteny and collinearity. Nucleic acids research. 2012;40(7):e49-e.</w:t>
      </w:r>
    </w:p>
    <w:p w14:paraId="73E2DC87" w14:textId="77777777" w:rsidR="003866B8" w:rsidRPr="003866B8" w:rsidRDefault="003866B8" w:rsidP="003866B8">
      <w:pPr>
        <w:pStyle w:val="EndNoteBibliography"/>
      </w:pPr>
      <w:r w:rsidRPr="003866B8">
        <w:t>3.</w:t>
      </w:r>
      <w:r w:rsidRPr="003866B8">
        <w:tab/>
        <w:t>Krzywinski M, Schein J, Birol I, Connors J, Gascoyne R, Horsman D, et al. Circos: an information aesthetic for comparative genomics. Genome research. 2009;19(9):1639-45.</w:t>
      </w:r>
    </w:p>
    <w:p w14:paraId="7F0B94F2" w14:textId="77777777" w:rsidR="003866B8" w:rsidRPr="003866B8" w:rsidRDefault="003866B8" w:rsidP="003866B8">
      <w:pPr>
        <w:pStyle w:val="EndNoteBibliography"/>
      </w:pPr>
      <w:r w:rsidRPr="003866B8">
        <w:t>4.</w:t>
      </w:r>
      <w:r w:rsidRPr="003866B8">
        <w:tab/>
        <w:t>Chen C, Chen H, Zhang Y, Thomas HR, Frank MH, He Y, et al. TBtools: an integrative toolkit developed for interactive analyses of big biological data. Molecular plant. 2020;13(8):1194-202.</w:t>
      </w:r>
    </w:p>
    <w:p w14:paraId="239401FA" w14:textId="77777777" w:rsidR="003866B8" w:rsidRPr="003866B8" w:rsidRDefault="003866B8" w:rsidP="003866B8">
      <w:pPr>
        <w:pStyle w:val="EndNoteBibliography"/>
      </w:pPr>
      <w:r w:rsidRPr="003866B8">
        <w:t>5.</w:t>
      </w:r>
      <w:r w:rsidRPr="003866B8">
        <w:tab/>
        <w:t>Edgar RC. MUSCLE: a multiple sequence alignment method with reduced time and space complexity. BMC bioinformatics. 2004;5(1):1-19.</w:t>
      </w:r>
    </w:p>
    <w:p w14:paraId="66112BA5" w14:textId="77777777" w:rsidR="003866B8" w:rsidRPr="003866B8" w:rsidRDefault="003866B8" w:rsidP="003866B8">
      <w:pPr>
        <w:pStyle w:val="EndNoteBibliography"/>
      </w:pPr>
      <w:r w:rsidRPr="003866B8">
        <w:t>6.</w:t>
      </w:r>
      <w:r w:rsidRPr="003866B8">
        <w:tab/>
        <w:t>Price MN, Dehal PS, Arkin AP. FastTree 2–approximately maximum-likelihood trees for large alignments. PloS one. 2010;5(3):e9490.</w:t>
      </w:r>
    </w:p>
    <w:p w14:paraId="7266D0FE" w14:textId="77777777" w:rsidR="003866B8" w:rsidRPr="003866B8" w:rsidRDefault="003866B8" w:rsidP="003866B8">
      <w:pPr>
        <w:pStyle w:val="EndNoteBibliography"/>
      </w:pPr>
      <w:r w:rsidRPr="003866B8">
        <w:t>7.</w:t>
      </w:r>
      <w:r w:rsidRPr="003866B8">
        <w:tab/>
        <w:t>Letunic I, Bork P. Interactive tree of life (iTOL) v3: an online tool for the display and annotation of phylogenetic and other trees. Nucleic acids research. 2016;44(W1):W242-W5.</w:t>
      </w:r>
    </w:p>
    <w:p w14:paraId="6ED453EB" w14:textId="3BC43D0C" w:rsidR="003866B8" w:rsidRPr="008939D8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 w:rsidRPr="00071257">
        <w:rPr>
          <w:rFonts w:ascii="Times New Roman" w:eastAsia="TimesNewRomanPSMT" w:hAnsi="Times New Roman" w:cs="Times New Roman"/>
          <w:kern w:val="0"/>
          <w:sz w:val="24"/>
          <w:szCs w:val="24"/>
        </w:rPr>
        <w:fldChar w:fldCharType="end"/>
      </w:r>
    </w:p>
    <w:p w14:paraId="62A463D1" w14:textId="77777777" w:rsidR="003866B8" w:rsidRPr="00963D2F" w:rsidRDefault="003866B8" w:rsidP="003866B8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kern w:val="0"/>
          <w:szCs w:val="21"/>
        </w:rPr>
      </w:pPr>
    </w:p>
    <w:p w14:paraId="57963618" w14:textId="77777777" w:rsidR="003866B8" w:rsidRPr="00975F09" w:rsidRDefault="003866B8" w:rsidP="003866B8"/>
    <w:p w14:paraId="38A62982" w14:textId="77777777" w:rsidR="003866B8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kern w:val="0"/>
          <w:sz w:val="24"/>
          <w:szCs w:val="24"/>
        </w:rPr>
      </w:pPr>
    </w:p>
    <w:p w14:paraId="5993448E" w14:textId="77777777" w:rsidR="003866B8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kern w:val="0"/>
          <w:sz w:val="24"/>
          <w:szCs w:val="24"/>
        </w:rPr>
      </w:pPr>
    </w:p>
    <w:p w14:paraId="01B9DDBF" w14:textId="77777777" w:rsidR="003866B8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kern w:val="0"/>
          <w:sz w:val="24"/>
          <w:szCs w:val="24"/>
        </w:rPr>
      </w:pPr>
    </w:p>
    <w:p w14:paraId="527C99EA" w14:textId="77777777" w:rsidR="003866B8" w:rsidRDefault="003866B8" w:rsidP="003866B8">
      <w:pPr>
        <w:autoSpaceDE w:val="0"/>
        <w:autoSpaceDN w:val="0"/>
        <w:adjustRightInd w:val="0"/>
        <w:spacing w:line="360" w:lineRule="auto"/>
        <w:rPr>
          <w:rFonts w:ascii="Times New Roman" w:eastAsia="TimesNewRomanPSMT" w:hAnsi="Times New Roman" w:cs="Times New Roman"/>
          <w:kern w:val="0"/>
          <w:sz w:val="24"/>
          <w:szCs w:val="24"/>
        </w:rPr>
      </w:pPr>
    </w:p>
    <w:p w14:paraId="471C8D31" w14:textId="77777777" w:rsidR="00F91CE3" w:rsidRDefault="00170A8D"/>
    <w:sectPr w:rsidR="00F91C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705E7" w14:textId="77777777" w:rsidR="00170A8D" w:rsidRDefault="00170A8D" w:rsidP="003866B8">
      <w:r>
        <w:separator/>
      </w:r>
    </w:p>
  </w:endnote>
  <w:endnote w:type="continuationSeparator" w:id="0">
    <w:p w14:paraId="7E95AEF9" w14:textId="77777777" w:rsidR="00170A8D" w:rsidRDefault="00170A8D" w:rsidP="0038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F0000" w:usb2="00000010" w:usb3="00000000" w:csb0="0006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BD75C" w14:textId="77777777" w:rsidR="00170A8D" w:rsidRDefault="00170A8D" w:rsidP="003866B8">
      <w:r>
        <w:separator/>
      </w:r>
    </w:p>
  </w:footnote>
  <w:footnote w:type="continuationSeparator" w:id="0">
    <w:p w14:paraId="1C5AAE5C" w14:textId="77777777" w:rsidR="00170A8D" w:rsidRDefault="00170A8D" w:rsidP="003866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-3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5s2005bz9ex3eswzaxsd9oapewfpezrfve&quot;&gt;My EndNote Library&lt;record-ids&gt;&lt;item&gt;4&lt;/item&gt;&lt;item&gt;5&lt;/item&gt;&lt;item&gt;8&lt;/item&gt;&lt;/record-ids&gt;&lt;/item&gt;&lt;/Libraries&gt;"/>
  </w:docVars>
  <w:rsids>
    <w:rsidRoot w:val="00610FDF"/>
    <w:rsid w:val="00170A8D"/>
    <w:rsid w:val="003866B8"/>
    <w:rsid w:val="00447DFA"/>
    <w:rsid w:val="00610FDF"/>
    <w:rsid w:val="009E093C"/>
    <w:rsid w:val="00CD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462586C-3983-4682-B0A6-6CE54A4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6B8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66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66B8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66B8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3866B8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3866B8"/>
    <w:rPr>
      <w:rFonts w:ascii="Calibri" w:hAnsi="Calibri" w:cs="Calibri"/>
      <w:noProof/>
      <w:sz w:val="20"/>
    </w:rPr>
  </w:style>
  <w:style w:type="paragraph" w:customStyle="1" w:styleId="EndNoteBibliographyTitle">
    <w:name w:val="EndNote Bibliography Title"/>
    <w:basedOn w:val="a"/>
    <w:link w:val="EndNoteBibliographyTitle0"/>
    <w:rsid w:val="003866B8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866B8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2039</Words>
  <Characters>11625</Characters>
  <Application>Microsoft Office Word</Application>
  <DocSecurity>0</DocSecurity>
  <Lines>96</Lines>
  <Paragraphs>27</Paragraphs>
  <ScaleCrop>false</ScaleCrop>
  <Company/>
  <LinksUpToDate>false</LinksUpToDate>
  <CharactersWithSpaces>13637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zhoukittyvitas@163.com</dc:creator>
  <cp:keywords/>
  <dc:description/>
  <cp:lastModifiedBy>zhoukittyvitas@163.com</cp:lastModifiedBy>
  <cp:revision>2</cp:revision>
  <dcterms:created xsi:type="dcterms:W3CDTF">2022-02-04T03:58:00Z</dcterms:created>
  <dcterms:modified xsi:type="dcterms:W3CDTF">2022-02-04T04:40:00Z</dcterms:modified>
</cp:coreProperties>
</file>