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C9744" w14:textId="375C55E2" w:rsidR="00085A22" w:rsidRDefault="00332AB4" w:rsidP="00085A22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  <w:noProof/>
        </w:rPr>
        <w:drawing>
          <wp:inline distT="0" distB="0" distL="0" distR="0" wp14:anchorId="3ED9CA46" wp14:editId="1B03C72D">
            <wp:extent cx="3037160" cy="6480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6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22B7421" w14:textId="296010EC" w:rsidR="00085A22" w:rsidRDefault="00085A22" w:rsidP="00085A22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595ABD">
        <w:rPr>
          <w:rFonts w:ascii="Arial" w:hAnsi="Arial" w:cs="Arial"/>
          <w:b/>
        </w:rPr>
        <w:t>Figure S1</w:t>
      </w:r>
      <w:r w:rsidRPr="00595ABD">
        <w:rPr>
          <w:rFonts w:ascii="Arial" w:hAnsi="Arial" w:cs="Arial"/>
        </w:rPr>
        <w:t xml:space="preserve"> </w:t>
      </w:r>
      <w:r w:rsidRPr="003F0ADD">
        <w:rPr>
          <w:rFonts w:ascii="Arial" w:hAnsi="Arial" w:cs="Arial"/>
          <w:b/>
        </w:rPr>
        <w:t>Time course of moisture</w:t>
      </w:r>
      <w:r w:rsidRPr="003F0ADD">
        <w:rPr>
          <w:rFonts w:ascii="Arial" w:eastAsia="Calibri" w:hAnsi="Arial" w:cs="Arial"/>
          <w:b/>
        </w:rPr>
        <w:t>-</w:t>
      </w:r>
      <w:r w:rsidRPr="003F0ADD">
        <w:rPr>
          <w:rFonts w:ascii="Arial" w:hAnsi="Arial" w:cs="Arial"/>
          <w:b/>
        </w:rPr>
        <w:t>induced russeting of ‘</w:t>
      </w:r>
      <w:proofErr w:type="spellStart"/>
      <w:r w:rsidRPr="003F0ADD">
        <w:rPr>
          <w:rFonts w:ascii="Arial" w:hAnsi="Arial" w:cs="Arial"/>
          <w:b/>
        </w:rPr>
        <w:t>Pinova</w:t>
      </w:r>
      <w:proofErr w:type="spellEnd"/>
      <w:r w:rsidRPr="003F0ADD">
        <w:rPr>
          <w:rFonts w:ascii="Arial" w:hAnsi="Arial" w:cs="Arial"/>
          <w:b/>
        </w:rPr>
        <w:t>’ apple as indexed by fluorescence microscopy.</w:t>
      </w:r>
      <w:r w:rsidRPr="003F0ADD">
        <w:rPr>
          <w:rFonts w:ascii="Arial" w:hAnsi="Arial" w:cs="Arial"/>
        </w:rPr>
        <w:t xml:space="preserve"> Russeting was induced in a two</w:t>
      </w:r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 xml:space="preserve">phase experiment: During Phase I, a patch of fruit skin was exposed to surface moisture for 12 d (Phase I, ‘12 d wet’). After termination of moisture exposure (Phase II), the treated skin patch was exposed to the ambient atmosphere (‘y d dry’). The </w:t>
      </w:r>
      <w:r w:rsidRPr="003F0ADD">
        <w:rPr>
          <w:rFonts w:ascii="Arial" w:eastAsia="Calibri" w:hAnsi="Arial" w:cs="Arial"/>
        </w:rPr>
        <w:t>nontreated</w:t>
      </w:r>
      <w:r w:rsidRPr="003F0ADD">
        <w:rPr>
          <w:rFonts w:ascii="Arial" w:hAnsi="Arial" w:cs="Arial"/>
        </w:rPr>
        <w:t xml:space="preserve"> control (‘Control’) remained dry during Phase I and Phase II (‘x d dry + y d dry’). Moisture was applied at 31 days after full bloom (DAFB). Top view (left panel) and cross</w:t>
      </w:r>
      <w:r>
        <w:rPr>
          <w:rFonts w:ascii="Arial" w:hAnsi="Arial" w:cs="Arial"/>
        </w:rPr>
        <w:t>-</w:t>
      </w:r>
      <w:r w:rsidRPr="003F0ADD">
        <w:rPr>
          <w:rFonts w:ascii="Arial" w:hAnsi="Arial" w:cs="Arial"/>
        </w:rPr>
        <w:t>sections of</w:t>
      </w:r>
      <w:r>
        <w:rPr>
          <w:rFonts w:ascii="Arial" w:hAnsi="Arial" w:cs="Arial"/>
        </w:rPr>
        <w:t xml:space="preserve"> the</w:t>
      </w:r>
      <w:r w:rsidRPr="003F0ADD">
        <w:rPr>
          <w:rFonts w:ascii="Arial" w:hAnsi="Arial" w:cs="Arial"/>
        </w:rPr>
        <w:t xml:space="preserve"> fruit surface (right panel) during formation of microcracks in the cuticle and initiation of a periderm. Microcracks were infiltrated with acridine </w:t>
      </w:r>
      <w:r w:rsidRPr="003F0ADD">
        <w:rPr>
          <w:rFonts w:ascii="Arial" w:hAnsi="Arial" w:cs="Arial"/>
        </w:rPr>
        <w:lastRenderedPageBreak/>
        <w:t>orange (left panel),</w:t>
      </w:r>
      <w:r w:rsidRPr="003F0ADD">
        <w:rPr>
          <w:rFonts w:ascii="Arial" w:eastAsia="Calibri" w:hAnsi="Arial" w:cs="Arial"/>
        </w:rPr>
        <w:t xml:space="preserve"> and</w:t>
      </w:r>
      <w:r w:rsidRPr="003F0ADD">
        <w:rPr>
          <w:rFonts w:ascii="Arial" w:hAnsi="Arial" w:cs="Arial"/>
        </w:rPr>
        <w:t xml:space="preserve"> the cross</w:t>
      </w:r>
      <w:r>
        <w:rPr>
          <w:rFonts w:ascii="Arial" w:hAnsi="Arial" w:cs="Arial"/>
        </w:rPr>
        <w:t>-</w:t>
      </w:r>
      <w:r w:rsidRPr="003F0ADD">
        <w:rPr>
          <w:rFonts w:ascii="Arial" w:hAnsi="Arial" w:cs="Arial"/>
        </w:rPr>
        <w:t xml:space="preserve">sections were stained with </w:t>
      </w:r>
      <w:proofErr w:type="spellStart"/>
      <w:r w:rsidRPr="003F0ADD">
        <w:rPr>
          <w:rFonts w:ascii="Arial" w:hAnsi="Arial" w:cs="Arial"/>
        </w:rPr>
        <w:t>Fluorol</w:t>
      </w:r>
      <w:proofErr w:type="spellEnd"/>
      <w:r w:rsidRPr="003F0ADD">
        <w:rPr>
          <w:rFonts w:ascii="Arial" w:hAnsi="Arial" w:cs="Arial"/>
        </w:rPr>
        <w:t xml:space="preserve"> Yellow 088 (right panel). </w:t>
      </w:r>
      <w:r w:rsidRPr="003F0ADD">
        <w:rPr>
          <w:rFonts w:ascii="Arial" w:eastAsia="Calibri" w:hAnsi="Arial" w:cs="Arial"/>
        </w:rPr>
        <w:t>The scale</w:t>
      </w:r>
      <w:r w:rsidRPr="003F0ADD">
        <w:rPr>
          <w:rFonts w:ascii="Arial" w:hAnsi="Arial" w:cs="Arial"/>
        </w:rPr>
        <w:t xml:space="preserve"> bar in </w:t>
      </w:r>
      <w:r w:rsidRPr="003F0ADD">
        <w:rPr>
          <w:rFonts w:ascii="Arial" w:eastAsia="Calibri" w:hAnsi="Arial" w:cs="Arial"/>
        </w:rPr>
        <w:t xml:space="preserve">the </w:t>
      </w:r>
      <w:r w:rsidRPr="003F0ADD">
        <w:rPr>
          <w:rFonts w:ascii="Arial" w:hAnsi="Arial" w:cs="Arial"/>
        </w:rPr>
        <w:t xml:space="preserve">top view of ‘0 d wet + 0 d dry’ is 200 </w:t>
      </w:r>
      <w:r>
        <w:rPr>
          <w:rFonts w:ascii="Arial" w:hAnsi="Arial" w:cs="Arial"/>
        </w:rPr>
        <w:t>µ</w:t>
      </w:r>
      <w:r w:rsidRPr="003F0ADD">
        <w:rPr>
          <w:rFonts w:ascii="Arial" w:hAnsi="Arial" w:cs="Arial"/>
        </w:rPr>
        <w:t xml:space="preserve">m long and representative </w:t>
      </w:r>
      <w:r w:rsidRPr="003F0ADD">
        <w:rPr>
          <w:rFonts w:ascii="Arial" w:eastAsia="Calibri" w:hAnsi="Arial" w:cs="Arial"/>
        </w:rPr>
        <w:t>of</w:t>
      </w:r>
      <w:r w:rsidRPr="003F0ADD">
        <w:rPr>
          <w:rFonts w:ascii="Arial" w:hAnsi="Arial" w:cs="Arial"/>
        </w:rPr>
        <w:t xml:space="preserve"> all top views (</w:t>
      </w:r>
      <w:r w:rsidRPr="003F0ADD">
        <w:rPr>
          <w:rFonts w:ascii="Arial" w:hAnsi="Arial" w:cs="Arial"/>
          <w:i/>
        </w:rPr>
        <w:t>n</w:t>
      </w:r>
      <w:r w:rsidRPr="003F0ADD">
        <w:rPr>
          <w:rFonts w:ascii="Arial" w:hAnsi="Arial" w:cs="Arial"/>
        </w:rPr>
        <w:t xml:space="preserve"> = 10). The white scale bar in </w:t>
      </w:r>
      <w:r w:rsidRPr="003F0ADD">
        <w:rPr>
          <w:rFonts w:ascii="Arial" w:eastAsia="Calibri" w:hAnsi="Arial" w:cs="Arial"/>
        </w:rPr>
        <w:t xml:space="preserve">the </w:t>
      </w:r>
      <w:r w:rsidRPr="003F0ADD">
        <w:rPr>
          <w:rFonts w:ascii="Arial" w:hAnsi="Arial" w:cs="Arial"/>
        </w:rPr>
        <w:t xml:space="preserve">‘0 d wet + 0 d dry’ </w:t>
      </w:r>
      <w:r w:rsidRPr="003F0ADD">
        <w:rPr>
          <w:rFonts w:ascii="Arial" w:eastAsia="Calibri" w:hAnsi="Arial" w:cs="Arial"/>
        </w:rPr>
        <w:t>cross</w:t>
      </w:r>
      <w:r>
        <w:rPr>
          <w:rFonts w:ascii="Arial" w:eastAsia="Calibri" w:hAnsi="Arial" w:cs="Arial"/>
        </w:rPr>
        <w:t>-</w:t>
      </w:r>
      <w:r w:rsidRPr="003F0ADD">
        <w:rPr>
          <w:rFonts w:ascii="Arial" w:eastAsia="Calibri" w:hAnsi="Arial" w:cs="Arial"/>
        </w:rPr>
        <w:t xml:space="preserve">section </w:t>
      </w:r>
      <w:r w:rsidRPr="003F0ADD">
        <w:rPr>
          <w:rFonts w:ascii="Arial" w:hAnsi="Arial" w:cs="Arial"/>
        </w:rPr>
        <w:t xml:space="preserve">is 50 µm long and representative </w:t>
      </w:r>
      <w:r w:rsidRPr="003F0ADD">
        <w:rPr>
          <w:rFonts w:ascii="Arial" w:eastAsia="Calibri" w:hAnsi="Arial" w:cs="Arial"/>
        </w:rPr>
        <w:t>of</w:t>
      </w:r>
      <w:r w:rsidRPr="003F0ADD">
        <w:rPr>
          <w:rFonts w:ascii="Arial" w:hAnsi="Arial" w:cs="Arial"/>
        </w:rPr>
        <w:t xml:space="preserve"> all cross</w:t>
      </w:r>
      <w:r>
        <w:rPr>
          <w:rFonts w:ascii="Arial" w:hAnsi="Arial" w:cs="Arial"/>
        </w:rPr>
        <w:t>-</w:t>
      </w:r>
      <w:r w:rsidRPr="003F0ADD">
        <w:rPr>
          <w:rFonts w:ascii="Arial" w:hAnsi="Arial" w:cs="Arial"/>
        </w:rPr>
        <w:t>sections (</w:t>
      </w:r>
      <w:r w:rsidRPr="003F0ADD">
        <w:rPr>
          <w:rFonts w:ascii="Arial" w:hAnsi="Arial" w:cs="Arial"/>
          <w:i/>
        </w:rPr>
        <w:t>n</w:t>
      </w:r>
      <w:r w:rsidRPr="003F0ADD">
        <w:rPr>
          <w:rFonts w:ascii="Arial" w:hAnsi="Arial" w:cs="Arial"/>
        </w:rPr>
        <w:t xml:space="preserve"> = 6).</w:t>
      </w:r>
    </w:p>
    <w:p w14:paraId="4A457085" w14:textId="77777777" w:rsidR="004A3E8D" w:rsidRDefault="004A3E8D"/>
    <w:sectPr w:rsidR="004A3E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86"/>
    <w:rsid w:val="00085A22"/>
    <w:rsid w:val="00332AB4"/>
    <w:rsid w:val="004A3E8D"/>
    <w:rsid w:val="00B63C9A"/>
    <w:rsid w:val="00E121D8"/>
    <w:rsid w:val="00F9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813093A"/>
  <w14:defaultImageDpi w14:val="32767"/>
  <w15:chartTrackingRefBased/>
  <w15:docId w15:val="{B200DA0D-40B9-41EE-B290-9DD3F2B7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85A22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2023-09-21T09:34:00Z</dcterms:created>
  <dcterms:modified xsi:type="dcterms:W3CDTF">2023-09-21T09:34:00Z</dcterms:modified>
</cp:coreProperties>
</file>