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99F6" w14:textId="7FDDF50C" w:rsidR="00E24A37" w:rsidRDefault="00CF2833">
      <w:r>
        <w:rPr>
          <w:noProof/>
        </w:rPr>
        <w:drawing>
          <wp:inline distT="0" distB="0" distL="0" distR="0" wp14:anchorId="010EDA01" wp14:editId="139C1CAB">
            <wp:extent cx="5274310" cy="5274310"/>
            <wp:effectExtent l="0" t="0" r="2540" b="2540"/>
            <wp:docPr id="12679166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16639" name="图片 12679166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7EE77" w14:textId="27E6F0D4" w:rsidR="00AD2577" w:rsidRPr="008E58B1" w:rsidRDefault="008E58B1" w:rsidP="00CF2833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0C350D">
        <w:rPr>
          <w:rFonts w:ascii="Times New Roman" w:hAnsi="Times New Roman"/>
          <w:b/>
          <w:bCs/>
          <w:kern w:val="0"/>
          <w:sz w:val="24"/>
          <w:szCs w:val="24"/>
        </w:rPr>
        <w:t>Additional file 4</w:t>
      </w:r>
      <w:bookmarkStart w:id="0" w:name="OLE_LINK94"/>
      <w:bookmarkStart w:id="1" w:name="OLE_LINK93"/>
      <w:r w:rsidRPr="000C350D">
        <w:rPr>
          <w:rFonts w:ascii="Times New Roman" w:hAnsi="Times New Roman" w:cs="Times New Roman"/>
          <w:b/>
          <w:bCs/>
        </w:rPr>
        <w:t xml:space="preserve">. </w:t>
      </w:r>
      <w:r w:rsidRPr="000C350D">
        <w:rPr>
          <w:rFonts w:ascii="Times New Roman" w:hAnsi="Times New Roman" w:hint="eastAsia"/>
          <w:b/>
          <w:bCs/>
          <w:sz w:val="24"/>
          <w:szCs w:val="24"/>
        </w:rPr>
        <w:t xml:space="preserve">Global view of the RNA-seq expression data at two fruit </w:t>
      </w:r>
      <w:r>
        <w:rPr>
          <w:rFonts w:ascii="Times New Roman" w:hAnsi="Times New Roman" w:hint="eastAsia"/>
          <w:b/>
          <w:bCs/>
          <w:sz w:val="24"/>
          <w:szCs w:val="24"/>
        </w:rPr>
        <w:t>developmental stage</w:t>
      </w:r>
      <w:r w:rsidRPr="000C350D">
        <w:rPr>
          <w:rFonts w:ascii="Times New Roman" w:hAnsi="Times New Roman" w:hint="eastAsia"/>
          <w:b/>
          <w:bCs/>
          <w:sz w:val="24"/>
          <w:szCs w:val="24"/>
        </w:rPr>
        <w:t xml:space="preserve">s. </w:t>
      </w:r>
      <w:bookmarkEnd w:id="0"/>
      <w:bookmarkEnd w:id="1"/>
      <w:r w:rsidRPr="000C350D">
        <w:rPr>
          <w:rFonts w:ascii="Times New Roman" w:hAnsi="Times New Roman" w:hint="eastAsia"/>
          <w:sz w:val="24"/>
          <w:szCs w:val="24"/>
        </w:rPr>
        <w:t xml:space="preserve">(A) Expression levels of genes based on RNA-seq data. Samples from the </w:t>
      </w:r>
      <w:r w:rsidRPr="000C350D">
        <w:rPr>
          <w:rFonts w:ascii="Times New Roman" w:hAnsi="Times New Roman" w:cs="Times New Roman"/>
          <w:sz w:val="24"/>
        </w:rPr>
        <w:t xml:space="preserve">SP and DP </w:t>
      </w:r>
      <w:r>
        <w:rPr>
          <w:rFonts w:ascii="Times New Roman" w:hAnsi="Times New Roman" w:cs="Times New Roman"/>
          <w:sz w:val="24"/>
        </w:rPr>
        <w:t xml:space="preserve">systems </w:t>
      </w:r>
      <w:r w:rsidRPr="000C350D">
        <w:rPr>
          <w:rFonts w:ascii="Times New Roman" w:hAnsi="Times New Roman" w:hint="eastAsia"/>
          <w:sz w:val="24"/>
          <w:szCs w:val="24"/>
        </w:rPr>
        <w:t xml:space="preserve">were collected at 90 </w:t>
      </w:r>
      <w:r w:rsidRPr="000C350D">
        <w:rPr>
          <w:rFonts w:ascii="Times New Roman" w:hAnsi="Times New Roman" w:cs="Times New Roman"/>
          <w:sz w:val="24"/>
        </w:rPr>
        <w:t>DAF and 1</w:t>
      </w:r>
      <w:r w:rsidRPr="000C350D">
        <w:rPr>
          <w:rFonts w:ascii="Times New Roman" w:hAnsi="Times New Roman" w:cs="Times New Roman" w:hint="eastAsia"/>
          <w:sz w:val="24"/>
        </w:rPr>
        <w:t>20</w:t>
      </w:r>
      <w:r w:rsidRPr="000C350D">
        <w:rPr>
          <w:rFonts w:ascii="Times New Roman" w:hAnsi="Times New Roman" w:cs="Times New Roman"/>
          <w:sz w:val="24"/>
        </w:rPr>
        <w:t xml:space="preserve"> DAF. SP: traditional freestanding system, DP: flat-type trellis system, </w:t>
      </w:r>
      <w:r w:rsidRPr="000C350D">
        <w:rPr>
          <w:rFonts w:ascii="Times New Roman" w:hAnsi="Times New Roman" w:cs="Times New Roman" w:hint="eastAsia"/>
          <w:sz w:val="24"/>
        </w:rPr>
        <w:t xml:space="preserve">FPKM: </w:t>
      </w:r>
      <w:r w:rsidRPr="000C350D">
        <w:rPr>
          <w:rFonts w:ascii="Times New Roman" w:hAnsi="Times New Roman" w:cs="Times New Roman"/>
          <w:sz w:val="24"/>
        </w:rPr>
        <w:t>fragments per kilobase per million reads, DAF: day</w:t>
      </w:r>
      <w:r>
        <w:rPr>
          <w:rFonts w:ascii="Times New Roman" w:hAnsi="Times New Roman" w:cs="Times New Roman"/>
          <w:sz w:val="24"/>
        </w:rPr>
        <w:t>s</w:t>
      </w:r>
      <w:r w:rsidRPr="000C350D">
        <w:rPr>
          <w:rFonts w:ascii="Times New Roman" w:hAnsi="Times New Roman" w:cs="Times New Roman"/>
          <w:sz w:val="24"/>
        </w:rPr>
        <w:t xml:space="preserve"> after flowering</w:t>
      </w:r>
      <w:r w:rsidRPr="000C350D">
        <w:rPr>
          <w:rFonts w:ascii="Times New Roman" w:hAnsi="Times New Roman" w:cs="Times New Roman" w:hint="eastAsia"/>
          <w:sz w:val="24"/>
        </w:rPr>
        <w:t xml:space="preserve">. The white, </w:t>
      </w:r>
      <w:proofErr w:type="gramStart"/>
      <w:r w:rsidRPr="000C350D">
        <w:rPr>
          <w:rFonts w:ascii="Times New Roman" w:hAnsi="Times New Roman" w:cs="Times New Roman" w:hint="eastAsia"/>
          <w:sz w:val="24"/>
        </w:rPr>
        <w:t>grey</w:t>
      </w:r>
      <w:proofErr w:type="gramEnd"/>
      <w:r w:rsidRPr="000C350D">
        <w:rPr>
          <w:rFonts w:ascii="Times New Roman" w:hAnsi="Times New Roman" w:cs="Times New Roman" w:hint="eastAsia"/>
          <w:sz w:val="24"/>
        </w:rPr>
        <w:t xml:space="preserve"> and dark segments in each stacked bar indicate the </w:t>
      </w:r>
      <w:r w:rsidRPr="000C350D">
        <w:rPr>
          <w:rFonts w:ascii="Times New Roman" w:hAnsi="Times New Roman" w:cs="Times New Roman"/>
          <w:sz w:val="24"/>
        </w:rPr>
        <w:t>distributions</w:t>
      </w:r>
      <w:r w:rsidRPr="000C350D">
        <w:rPr>
          <w:rFonts w:ascii="Times New Roman" w:hAnsi="Times New Roman" w:cs="Times New Roman" w:hint="eastAsia"/>
          <w:sz w:val="24"/>
        </w:rPr>
        <w:t xml:space="preserve"> of </w:t>
      </w:r>
      <w:r w:rsidRPr="000C350D">
        <w:rPr>
          <w:rFonts w:ascii="Times New Roman" w:hAnsi="Times New Roman" w:cs="Times New Roman"/>
          <w:sz w:val="24"/>
        </w:rPr>
        <w:t xml:space="preserve">the </w:t>
      </w:r>
      <w:r w:rsidRPr="000C350D">
        <w:rPr>
          <w:rFonts w:ascii="Times New Roman" w:hAnsi="Times New Roman" w:cs="Times New Roman" w:hint="eastAsia"/>
          <w:sz w:val="24"/>
        </w:rPr>
        <w:t xml:space="preserve">different expression levels. (B) Principal component analysis score plot </w:t>
      </w:r>
      <w:r w:rsidRPr="000C350D">
        <w:rPr>
          <w:rFonts w:ascii="Times New Roman" w:hAnsi="Times New Roman" w:cs="Times New Roman"/>
          <w:sz w:val="24"/>
        </w:rPr>
        <w:t>demonstrating</w:t>
      </w:r>
      <w:r w:rsidRPr="000C350D">
        <w:rPr>
          <w:rFonts w:ascii="Times New Roman" w:hAnsi="Times New Roman" w:cs="Times New Roman" w:hint="eastAsia"/>
          <w:sz w:val="24"/>
        </w:rPr>
        <w:t xml:space="preserve"> the separation of </w:t>
      </w:r>
      <w:r w:rsidRPr="000C350D">
        <w:rPr>
          <w:rFonts w:ascii="Times New Roman" w:hAnsi="Times New Roman" w:cs="Times New Roman"/>
          <w:sz w:val="24"/>
        </w:rPr>
        <w:t xml:space="preserve">the </w:t>
      </w:r>
      <w:r w:rsidRPr="000C350D">
        <w:rPr>
          <w:rFonts w:ascii="Times New Roman" w:hAnsi="Times New Roman" w:cs="Times New Roman" w:hint="eastAsia"/>
          <w:sz w:val="24"/>
        </w:rPr>
        <w:t xml:space="preserve">SP and DP pear </w:t>
      </w:r>
      <w:r w:rsidRPr="000C350D">
        <w:rPr>
          <w:rFonts w:ascii="Times New Roman" w:hAnsi="Times New Roman" w:cs="Times New Roman"/>
          <w:sz w:val="24"/>
        </w:rPr>
        <w:t>fruit</w:t>
      </w:r>
      <w:r w:rsidRPr="000C350D">
        <w:rPr>
          <w:rFonts w:ascii="Times New Roman" w:hAnsi="Times New Roman" w:cs="Times New Roman" w:hint="eastAsia"/>
          <w:sz w:val="24"/>
        </w:rPr>
        <w:t xml:space="preserve"> </w:t>
      </w:r>
      <w:r w:rsidRPr="000C350D">
        <w:rPr>
          <w:rFonts w:ascii="Times New Roman" w:hAnsi="Times New Roman" w:cs="Times New Roman"/>
          <w:sz w:val="24"/>
        </w:rPr>
        <w:t>samples</w:t>
      </w:r>
      <w:r w:rsidRPr="000C350D">
        <w:rPr>
          <w:rFonts w:ascii="Times New Roman" w:hAnsi="Times New Roman" w:cs="Times New Roman" w:hint="eastAsia"/>
          <w:sz w:val="24"/>
        </w:rPr>
        <w:t xml:space="preserve">. Each sample was marked using </w:t>
      </w:r>
      <w:r w:rsidRPr="000C350D">
        <w:rPr>
          <w:rFonts w:ascii="Times New Roman" w:hAnsi="Times New Roman" w:cs="Times New Roman"/>
          <w:sz w:val="24"/>
        </w:rPr>
        <w:t xml:space="preserve">an </w:t>
      </w:r>
      <w:r w:rsidRPr="000C350D">
        <w:rPr>
          <w:rFonts w:ascii="Times New Roman" w:hAnsi="Times New Roman" w:cs="Times New Roman" w:hint="eastAsia"/>
          <w:sz w:val="24"/>
        </w:rPr>
        <w:t xml:space="preserve">individual </w:t>
      </w:r>
      <w:proofErr w:type="spellStart"/>
      <w:r w:rsidRPr="000C350D">
        <w:rPr>
          <w:rFonts w:ascii="Times New Roman" w:hAnsi="Times New Roman" w:cs="Times New Roman" w:hint="eastAsia"/>
          <w:sz w:val="24"/>
        </w:rPr>
        <w:t>colour</w:t>
      </w:r>
      <w:proofErr w:type="spellEnd"/>
      <w:r w:rsidRPr="000C350D">
        <w:rPr>
          <w:rFonts w:ascii="Times New Roman" w:hAnsi="Times New Roman" w:cs="Times New Roman" w:hint="eastAsia"/>
          <w:sz w:val="24"/>
        </w:rPr>
        <w:t>.</w:t>
      </w:r>
      <w:r w:rsidRPr="000C350D">
        <w:rPr>
          <w:rFonts w:ascii="Times New Roman" w:hAnsi="Times New Roman" w:hint="eastAsia"/>
          <w:color w:val="0000FF"/>
          <w:sz w:val="24"/>
          <w:szCs w:val="24"/>
        </w:rPr>
        <w:t xml:space="preserve"> </w:t>
      </w:r>
      <w:r w:rsidRPr="000C350D">
        <w:rPr>
          <w:rFonts w:ascii="Times New Roman" w:hAnsi="Times New Roman" w:hint="eastAsia"/>
          <w:sz w:val="24"/>
          <w:szCs w:val="24"/>
        </w:rPr>
        <w:t>(</w:t>
      </w:r>
      <w:r w:rsidRPr="000C350D">
        <w:rPr>
          <w:rFonts w:ascii="Times New Roman" w:hAnsi="Times New Roman"/>
          <w:sz w:val="24"/>
          <w:szCs w:val="24"/>
        </w:rPr>
        <w:t>C</w:t>
      </w:r>
      <w:r w:rsidRPr="000C350D">
        <w:rPr>
          <w:rFonts w:ascii="Times New Roman" w:hAnsi="Times New Roman" w:hint="eastAsia"/>
          <w:sz w:val="24"/>
          <w:szCs w:val="24"/>
        </w:rPr>
        <w:t xml:space="preserve">) Verification of </w:t>
      </w:r>
      <w:r w:rsidRPr="000C350D">
        <w:rPr>
          <w:rFonts w:ascii="Times New Roman" w:hAnsi="Times New Roman"/>
          <w:sz w:val="24"/>
          <w:szCs w:val="24"/>
        </w:rPr>
        <w:t xml:space="preserve">the </w:t>
      </w:r>
      <w:r w:rsidRPr="000C350D">
        <w:rPr>
          <w:rFonts w:ascii="Times New Roman" w:hAnsi="Times New Roman" w:hint="eastAsia"/>
          <w:sz w:val="24"/>
          <w:szCs w:val="24"/>
        </w:rPr>
        <w:t xml:space="preserve">RNA-seq results by </w:t>
      </w:r>
      <w:proofErr w:type="spellStart"/>
      <w:r w:rsidRPr="000C350D">
        <w:rPr>
          <w:rFonts w:ascii="Times New Roman" w:hAnsi="Times New Roman"/>
          <w:sz w:val="24"/>
          <w:szCs w:val="24"/>
        </w:rPr>
        <w:t>qRT</w:t>
      </w:r>
      <w:proofErr w:type="spellEnd"/>
      <w:r w:rsidRPr="000C350D">
        <w:rPr>
          <w:rFonts w:ascii="Times New Roman" w:hAnsi="Times New Roman"/>
          <w:sz w:val="24"/>
          <w:szCs w:val="24"/>
        </w:rPr>
        <w:t>‒PCR</w:t>
      </w:r>
      <w:r w:rsidRPr="000C350D">
        <w:rPr>
          <w:rFonts w:ascii="Times New Roman" w:hAnsi="Times New Roman" w:hint="eastAsia"/>
          <w:sz w:val="24"/>
          <w:szCs w:val="24"/>
        </w:rPr>
        <w:t xml:space="preserve">. Error bars indicate the standard deviation from three biological and technical </w:t>
      </w:r>
      <w:proofErr w:type="spellStart"/>
      <w:r w:rsidRPr="000C350D">
        <w:rPr>
          <w:rFonts w:ascii="Times New Roman" w:hAnsi="Times New Roman"/>
          <w:sz w:val="24"/>
          <w:szCs w:val="24"/>
        </w:rPr>
        <w:t>qRT</w:t>
      </w:r>
      <w:proofErr w:type="spellEnd"/>
      <w:r w:rsidRPr="000C350D">
        <w:rPr>
          <w:rFonts w:ascii="Times New Roman" w:hAnsi="Times New Roman"/>
          <w:sz w:val="24"/>
          <w:szCs w:val="24"/>
        </w:rPr>
        <w:t>‒PCR</w:t>
      </w:r>
      <w:r w:rsidRPr="00C855C9">
        <w:rPr>
          <w:rFonts w:ascii="Times New Roman" w:hAnsi="Times New Roman" w:hint="eastAsia"/>
          <w:sz w:val="24"/>
          <w:szCs w:val="24"/>
        </w:rPr>
        <w:t xml:space="preserve"> </w:t>
      </w:r>
      <w:r w:rsidRPr="000C350D">
        <w:rPr>
          <w:rFonts w:ascii="Times New Roman" w:hAnsi="Times New Roman" w:hint="eastAsia"/>
          <w:sz w:val="24"/>
          <w:szCs w:val="24"/>
        </w:rPr>
        <w:t>replicates. The Y-</w:t>
      </w:r>
      <w:r w:rsidRPr="000C350D">
        <w:rPr>
          <w:rFonts w:ascii="Times New Roman" w:hAnsi="Times New Roman"/>
          <w:sz w:val="24"/>
          <w:szCs w:val="24"/>
        </w:rPr>
        <w:t>axes</w:t>
      </w:r>
      <w:r w:rsidRPr="000C350D">
        <w:rPr>
          <w:rFonts w:ascii="Times New Roman" w:hAnsi="Times New Roman" w:hint="eastAsia"/>
          <w:sz w:val="24"/>
          <w:szCs w:val="24"/>
        </w:rPr>
        <w:t xml:space="preserve"> show the relative gene expression </w:t>
      </w:r>
      <w:r w:rsidRPr="000C350D">
        <w:rPr>
          <w:rFonts w:ascii="Times New Roman" w:hAnsi="Times New Roman"/>
          <w:sz w:val="24"/>
          <w:szCs w:val="24"/>
        </w:rPr>
        <w:t xml:space="preserve">levels determined by </w:t>
      </w:r>
      <w:proofErr w:type="spellStart"/>
      <w:r w:rsidRPr="000C350D">
        <w:rPr>
          <w:rFonts w:ascii="Times New Roman" w:hAnsi="Times New Roman"/>
          <w:sz w:val="24"/>
          <w:szCs w:val="24"/>
        </w:rPr>
        <w:t>qRT</w:t>
      </w:r>
      <w:proofErr w:type="spellEnd"/>
      <w:r w:rsidRPr="000C350D">
        <w:rPr>
          <w:rFonts w:ascii="Times New Roman" w:hAnsi="Times New Roman"/>
          <w:sz w:val="24"/>
          <w:szCs w:val="24"/>
        </w:rPr>
        <w:t>‒PCR</w:t>
      </w:r>
      <w:r w:rsidRPr="000C350D">
        <w:rPr>
          <w:rFonts w:ascii="Times New Roman" w:hAnsi="Times New Roman" w:hint="eastAsia"/>
          <w:sz w:val="24"/>
          <w:szCs w:val="24"/>
        </w:rPr>
        <w:t xml:space="preserve"> (blue bars, left) and </w:t>
      </w:r>
      <w:r w:rsidRPr="000C350D">
        <w:rPr>
          <w:rFonts w:ascii="Times New Roman" w:hAnsi="Times New Roman"/>
          <w:sz w:val="24"/>
          <w:szCs w:val="24"/>
        </w:rPr>
        <w:t xml:space="preserve">the </w:t>
      </w:r>
      <w:r w:rsidRPr="000C350D">
        <w:rPr>
          <w:rFonts w:ascii="Times New Roman" w:hAnsi="Times New Roman" w:hint="eastAsia"/>
          <w:sz w:val="24"/>
          <w:szCs w:val="24"/>
        </w:rPr>
        <w:t xml:space="preserve">corresponding </w:t>
      </w:r>
      <w:r w:rsidRPr="000C350D">
        <w:rPr>
          <w:rFonts w:ascii="Times New Roman" w:hAnsi="Times New Roman"/>
          <w:sz w:val="24"/>
          <w:szCs w:val="24"/>
        </w:rPr>
        <w:t>RNA–seq</w:t>
      </w:r>
      <w:r w:rsidRPr="000C350D">
        <w:rPr>
          <w:rFonts w:ascii="Times New Roman" w:hAnsi="Times New Roman" w:hint="eastAsia"/>
          <w:sz w:val="24"/>
          <w:szCs w:val="24"/>
        </w:rPr>
        <w:t xml:space="preserve"> data (red line, right).</w:t>
      </w:r>
    </w:p>
    <w:sectPr w:rsidR="00AD2577" w:rsidRPr="008E58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3E4A" w14:textId="77777777" w:rsidR="0047203A" w:rsidRDefault="0047203A" w:rsidP="00AD2577">
      <w:r>
        <w:separator/>
      </w:r>
    </w:p>
  </w:endnote>
  <w:endnote w:type="continuationSeparator" w:id="0">
    <w:p w14:paraId="6A1F203A" w14:textId="77777777" w:rsidR="0047203A" w:rsidRDefault="0047203A" w:rsidP="00AD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51D38" w14:textId="77777777" w:rsidR="0047203A" w:rsidRDefault="0047203A" w:rsidP="00AD2577">
      <w:r>
        <w:separator/>
      </w:r>
    </w:p>
  </w:footnote>
  <w:footnote w:type="continuationSeparator" w:id="0">
    <w:p w14:paraId="5FC39D16" w14:textId="77777777" w:rsidR="0047203A" w:rsidRDefault="0047203A" w:rsidP="00AD2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92104"/>
    <w:rsid w:val="00123FF5"/>
    <w:rsid w:val="0047203A"/>
    <w:rsid w:val="006F40C6"/>
    <w:rsid w:val="008E58B1"/>
    <w:rsid w:val="00962C75"/>
    <w:rsid w:val="00A92104"/>
    <w:rsid w:val="00AD2577"/>
    <w:rsid w:val="00CF2833"/>
    <w:rsid w:val="00E2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5050D"/>
  <w15:chartTrackingRefBased/>
  <w15:docId w15:val="{B043AC5B-B568-45A1-8A69-F9BBB0DF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5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25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2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25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 刘</dc:creator>
  <cp:keywords/>
  <dc:description/>
  <cp:lastModifiedBy>政 刘</cp:lastModifiedBy>
  <cp:revision>4</cp:revision>
  <dcterms:created xsi:type="dcterms:W3CDTF">2023-12-21T02:37:00Z</dcterms:created>
  <dcterms:modified xsi:type="dcterms:W3CDTF">2023-12-27T06:58:00Z</dcterms:modified>
</cp:coreProperties>
</file>