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color w:val="000000"/>
          <w:kern w:val="0"/>
          <w:szCs w:val="20"/>
        </w:rPr>
      </w:pPr>
      <w:bookmarkStart w:id="0" w:name="_Hlk149676342"/>
      <w:r>
        <w:rPr>
          <w:rFonts w:ascii="Times New Roman" w:hAnsi="Times New Roman" w:eastAsia="宋体" w:cs="Times New Roman"/>
          <w:b/>
          <w:bCs/>
          <w:color w:val="000000"/>
          <w:kern w:val="0"/>
          <w:szCs w:val="20"/>
        </w:rPr>
        <w:t xml:space="preserve">Comparative transcriptomic profiling of the two-stage response of rice to </w:t>
      </w:r>
      <w:r>
        <w:rPr>
          <w:rFonts w:ascii="Times New Roman" w:hAnsi="Times New Roman" w:eastAsia="宋体" w:cs="Times New Roman"/>
          <w:b/>
          <w:bCs/>
          <w:i/>
          <w:iCs/>
          <w:color w:val="000000"/>
          <w:kern w:val="0"/>
          <w:szCs w:val="20"/>
        </w:rPr>
        <w:t>Xanthomonas oryzae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0"/>
        </w:rPr>
        <w:t xml:space="preserve"> pv. </w:t>
      </w:r>
      <w:r>
        <w:rPr>
          <w:rFonts w:ascii="Times New Roman" w:hAnsi="Times New Roman" w:eastAsia="宋体" w:cs="Times New Roman"/>
          <w:b/>
          <w:bCs/>
          <w:i/>
          <w:iCs/>
          <w:color w:val="000000"/>
          <w:kern w:val="0"/>
          <w:szCs w:val="20"/>
        </w:rPr>
        <w:t>oryzicola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0"/>
        </w:rPr>
        <w:t xml:space="preserve"> interaction with two different pathogenic strains</w:t>
      </w:r>
    </w:p>
    <w:p>
      <w:pPr>
        <w:widowControl/>
        <w:spacing w:line="480" w:lineRule="auto"/>
        <w:rPr>
          <w:rFonts w:ascii="Times New Roman" w:hAnsi="Times New Roman" w:eastAsia="宋体" w:cs="Times New Roman"/>
          <w:b/>
          <w:bCs/>
          <w:color w:val="000000"/>
          <w:kern w:val="0"/>
          <w:szCs w:val="20"/>
        </w:rPr>
      </w:pPr>
      <w:r>
        <w:rPr>
          <w:rFonts w:ascii="Times New Roman" w:hAnsi="Times New Roman" w:eastAsia="宋体" w:cs="Times New Roman"/>
          <w:color w:val="000000"/>
          <w:kern w:val="0"/>
          <w:szCs w:val="20"/>
        </w:rPr>
        <w:t>Yunya Bi, Yue Yu, Shuaige Mao, Tao Wu, Tao Wang, Ying Zhou, Kabin Xie, Hua Zhang, Li Liu, Zhaohui Chu</w:t>
      </w:r>
    </w:p>
    <w:p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</w:pPr>
      <w:r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  <w:t>*Correspondence: Zhaohui Chu (ORCID:</w:t>
      </w:r>
      <w:r>
        <w:t xml:space="preserve"> </w:t>
      </w:r>
      <w:r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  <w:t xml:space="preserve">0000-0001-8320-7872) zchu77@whu.edu.cn; Li Liu liuli2020@hubu.edu.cn </w:t>
      </w:r>
    </w:p>
    <w:p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</w:pPr>
      <w:r>
        <w:rPr>
          <w:rFonts w:ascii="Times New Roman" w:hAnsi="Times New Roman" w:eastAsia="宋体" w:cs="Times New Roman"/>
          <w:color w:val="000000"/>
          <w:kern w:val="0"/>
          <w:szCs w:val="20"/>
          <w:vertAlign w:val="superscript"/>
        </w:rPr>
        <w:t>†</w:t>
      </w:r>
      <w:r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  <w:t>These authors contributed equally to this work.</w:t>
      </w:r>
    </w:p>
    <w:p>
      <w:pPr>
        <w:widowControl/>
        <w:jc w:val="left"/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</w:pPr>
      <w:r>
        <w:rPr>
          <w:rFonts w:ascii="Times New Roman" w:hAnsi="Times New Roman" w:cs="Times New Roman"/>
          <w:color w:val="000000"/>
          <w:kern w:val="0"/>
          <w:szCs w:val="20"/>
          <w:lang w:eastAsia="de-DE" w:bidi="en-US"/>
        </w:rPr>
        <w:br w:type="page"/>
      </w:r>
    </w:p>
    <w:bookmarkEnd w:id="0"/>
    <w:p>
      <w:r>
        <w:drawing>
          <wp:inline distT="0" distB="0" distL="0" distR="0">
            <wp:extent cx="5274310" cy="2395220"/>
            <wp:effectExtent l="0" t="0" r="2540" b="5080"/>
            <wp:docPr id="1907343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4392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S1:</w:t>
      </w:r>
      <w:r>
        <w:rPr>
          <w:rFonts w:ascii="Times New Roman" w:hAnsi="Times New Roman" w:cs="Times New Roman"/>
        </w:rPr>
        <w:t xml:space="preserve"> GO analysis of the common DEGs at 12 hours post inoculation with HGA4 and RS105</w:t>
      </w:r>
      <w:r>
        <w:rPr>
          <w:rFonts w:hint="eastAsia" w:ascii="Times New Roman" w:hAnsi="Times New Roman" w:cs="Times New Roman"/>
        </w:rPr>
        <w:t>.</w:t>
      </w:r>
      <w:r>
        <w:t xml:space="preserve"> </w:t>
      </w:r>
      <w:r>
        <w:rPr>
          <w:rFonts w:ascii="Times New Roman" w:hAnsi="Times New Roman" w:cs="Times New Roman"/>
        </w:rPr>
        <w:t>Biological process analysis of the common DEGs for upregulated genes (A) and downregulated genes (B).</w:t>
      </w: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4"/>
        <w:spacing w:before="0" w:beforeAutospacing="0" w:after="0" w:afterAutospacing="0"/>
        <w:rPr>
          <w:rFonts w:ascii="Times New Roman" w:hAnsi="Times New Roman" w:cs="Times New Roman"/>
          <w:sz w:val="16"/>
          <w:szCs w:val="16"/>
        </w:rPr>
      </w:pPr>
      <w:bookmarkStart w:id="1" w:name="_Hlk149676391"/>
    </w:p>
    <w:bookmarkEnd w:id="1"/>
    <w:p>
      <w:pPr>
        <w:jc w:val="center"/>
      </w:pPr>
      <w:r>
        <w:drawing>
          <wp:inline distT="0" distB="0" distL="0" distR="0">
            <wp:extent cx="5274310" cy="2193925"/>
            <wp:effectExtent l="0" t="0" r="2540" b="0"/>
            <wp:docPr id="4563534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5340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等线" w:cs="Times New Roman"/>
          <w:color w:val="000000"/>
          <w:kern w:val="0"/>
          <w:szCs w:val="20"/>
        </w:rPr>
      </w:pPr>
      <w:bookmarkStart w:id="2" w:name="_Hlk162984919"/>
      <w:r>
        <w:rPr>
          <w:rFonts w:ascii="Times New Roman" w:hAnsi="Times New Roman" w:eastAsia="等线" w:cs="Times New Roman"/>
          <w:b/>
          <w:bCs/>
          <w:color w:val="000000"/>
          <w:kern w:val="0"/>
          <w:szCs w:val="20"/>
        </w:rPr>
        <w:t>Figure S2:</w:t>
      </w:r>
      <w:bookmarkEnd w:id="2"/>
      <w:r>
        <w:rPr>
          <w:rFonts w:ascii="Times New Roman" w:hAnsi="Times New Roman" w:eastAsia="等线" w:cs="Times New Roman"/>
          <w:b/>
          <w:bCs/>
          <w:color w:val="000000"/>
          <w:kern w:val="0"/>
          <w:szCs w:val="20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Cs w:val="20"/>
        </w:rPr>
        <w:t>Histogram of the ratio of common DEGs at 3 d</w:t>
      </w:r>
      <w:r>
        <w:rPr>
          <w:rFonts w:hint="eastAsia" w:ascii="Times New Roman" w:hAnsi="Times New Roman" w:eastAsia="等线" w:cs="Times New Roman"/>
          <w:color w:val="000000"/>
          <w:kern w:val="0"/>
          <w:szCs w:val="20"/>
        </w:rPr>
        <w:t>pi</w:t>
      </w:r>
      <w:r>
        <w:rPr>
          <w:rFonts w:ascii="Times New Roman" w:hAnsi="Times New Roman" w:eastAsia="等线" w:cs="Times New Roman"/>
          <w:color w:val="000000"/>
          <w:kern w:val="0"/>
          <w:szCs w:val="20"/>
        </w:rPr>
        <w:t xml:space="preserve"> with HGA4 and RS105</w:t>
      </w:r>
      <w:r>
        <w:rPr>
          <w:rFonts w:hint="eastAsia" w:ascii="Times New Roman" w:hAnsi="Times New Roman" w:eastAsia="等线" w:cs="Times New Roman"/>
          <w:color w:val="000000"/>
          <w:kern w:val="0"/>
          <w:szCs w:val="20"/>
        </w:rPr>
        <w:t>.</w:t>
      </w:r>
      <w:r>
        <w:rPr>
          <w:rFonts w:ascii="Times New Roman" w:hAnsi="Times New Roman" w:eastAsia="等线" w:cs="Times New Roman"/>
          <w:color w:val="000000"/>
          <w:kern w:val="0"/>
          <w:szCs w:val="20"/>
        </w:rPr>
        <w:t xml:space="preserve"> Histogram of the ratio of up-regulated common DEGs (A) to down-regulated common DEGs (B) at 3 dpi with HGA4 and RS105.</w:t>
      </w:r>
    </w:p>
    <w:p>
      <w:pPr>
        <w:rPr>
          <w:rFonts w:ascii="Times New Roman" w:hAnsi="Times New Roman" w:eastAsia="等线" w:cs="Times New Roman"/>
          <w:color w:val="000000"/>
          <w:kern w:val="0"/>
          <w:szCs w:val="20"/>
        </w:rPr>
      </w:pPr>
    </w:p>
    <w:p>
      <w:pPr>
        <w:rPr>
          <w:rFonts w:ascii="Times New Roman" w:hAnsi="Times New Roman" w:eastAsia="等线" w:cs="Times New Roman"/>
          <w:color w:val="000000"/>
          <w:kern w:val="0"/>
          <w:szCs w:val="20"/>
        </w:rPr>
      </w:pPr>
      <w:r>
        <w:drawing>
          <wp:inline distT="0" distB="0" distL="0" distR="0">
            <wp:extent cx="4471035" cy="3254375"/>
            <wp:effectExtent l="0" t="0" r="0" b="0"/>
            <wp:docPr id="1567008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0865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eastAsia="等线" w:cs="Times New Roman"/>
          <w:b/>
          <w:b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 </w:t>
      </w:r>
      <w:bookmarkStart w:id="3" w:name="_Hlk162986960"/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Expression levels determined by qRT‒PCR</w:t>
      </w:r>
      <w:bookmarkEnd w:id="3"/>
      <w:r>
        <w:rPr>
          <w:rFonts w:hint="eastAsia"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等线" w:cs="Times New Roman"/>
          <w:b/>
          <w:b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qRT-PCR was used to verify the expression of DEGs at 3 dpi with HGA4 and RS105.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Unpaired </w:t>
      </w:r>
      <w:r>
        <w:rPr>
          <w:rFonts w:ascii="Times New Roman" w:hAnsi="Times New Roman" w:eastAsia="等线" w:cs="Times New Roman"/>
          <w:i/>
          <w:i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 test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等线" w:cs="Times New Roman"/>
          <w:i/>
          <w:i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≤0.05, ** </w:t>
      </w:r>
      <w:r>
        <w:rPr>
          <w:rFonts w:ascii="Times New Roman" w:hAnsi="Times New Roman" w:eastAsia="等线" w:cs="Times New Roman"/>
          <w:i/>
          <w:i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 ≤ 0.01, *** </w:t>
      </w:r>
      <w:r>
        <w:rPr>
          <w:rFonts w:ascii="Times New Roman" w:hAnsi="Times New Roman" w:eastAsia="等线" w:cs="Times New Roman"/>
          <w:i/>
          <w:i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≤ 0.001, ****</w:t>
      </w:r>
      <w:r>
        <w:rPr>
          <w:rFonts w:ascii="Times New Roman" w:hAnsi="Times New Roman" w:eastAsia="等线" w:cs="Times New Roman"/>
          <w:i/>
          <w:iCs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 xml:space="preserve"> P</w:t>
      </w:r>
      <w:r>
        <w:rPr>
          <w:rFonts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≤ 0.0001</w:t>
      </w:r>
      <w:r>
        <w:rPr>
          <w:rFonts w:hint="eastAsia" w:ascii="Times New Roman" w:hAnsi="Times New Roman" w:eastAsia="等线" w:cs="Times New Roman"/>
          <w:color w:val="000000" w:themeColor="text1"/>
          <w:kern w:val="0"/>
          <w:szCs w:val="20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jc w:val="left"/>
        <w:rPr>
          <w:rFonts w:ascii="Times New Roman" w:hAnsi="Times New Roman" w:eastAsia="等线" w:cs="Times New Roman"/>
          <w:color w:val="000000"/>
          <w:kern w:val="0"/>
          <w:szCs w:val="20"/>
        </w:rPr>
      </w:pPr>
      <w:r>
        <w:rPr>
          <w:rFonts w:ascii="Times New Roman" w:hAnsi="Times New Roman" w:eastAsia="等线" w:cs="Times New Roman"/>
          <w:color w:val="000000"/>
          <w:kern w:val="0"/>
          <w:szCs w:val="20"/>
        </w:rPr>
        <w:br w:type="page"/>
      </w:r>
    </w:p>
    <w:p>
      <w:pPr>
        <w:rPr>
          <w:rFonts w:ascii="Times New Roman" w:hAnsi="Times New Roman" w:cs="Times New Roman"/>
        </w:rPr>
      </w:pPr>
      <w:bookmarkStart w:id="5" w:name="_GoBack"/>
      <w:r>
        <w:rPr>
          <w:rFonts w:ascii="Times New Roman" w:hAnsi="Times New Roman" w:cs="Times New Roman"/>
        </w:rPr>
        <w:drawing>
          <wp:inline distT="0" distB="0" distL="0" distR="0">
            <wp:extent cx="5397500" cy="7346950"/>
            <wp:effectExtent l="0" t="0" r="0" b="6350"/>
            <wp:docPr id="15478549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54949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34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101590" cy="7181215"/>
            <wp:effectExtent l="0" t="0" r="3810" b="635"/>
            <wp:docPr id="9251617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61718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2944" cy="7197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358765" cy="3034665"/>
            <wp:effectExtent l="0" t="0" r="0" b="0"/>
            <wp:docPr id="767745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4539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7269" cy="3045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Palatino Linotype" w:hAnsi="Palatino Linotype" w:eastAsia="等线" w:cs="Times New Roman"/>
          <w:color w:val="000000"/>
          <w:kern w:val="0"/>
          <w:szCs w:val="20"/>
        </w:rPr>
      </w:pPr>
      <w:bookmarkStart w:id="4" w:name="_Hlk145964496"/>
      <w:r>
        <w:rPr>
          <w:rFonts w:hint="eastAsia" w:ascii="Palatino Linotype" w:hAnsi="Palatino Linotype" w:eastAsia="等线" w:cs="Times New Roman"/>
          <w:b/>
          <w:bCs/>
          <w:color w:val="000000"/>
          <w:kern w:val="0"/>
          <w:szCs w:val="20"/>
        </w:rPr>
        <w:t>F</w:t>
      </w:r>
      <w:r>
        <w:rPr>
          <w:rFonts w:ascii="Palatino Linotype" w:hAnsi="Palatino Linotype" w:eastAsia="等线" w:cs="Times New Roman"/>
          <w:b/>
          <w:bCs/>
          <w:color w:val="000000"/>
          <w:kern w:val="0"/>
          <w:szCs w:val="20"/>
        </w:rPr>
        <w:t xml:space="preserve">igure </w:t>
      </w:r>
      <w:r>
        <w:rPr>
          <w:rFonts w:hint="eastAsia" w:ascii="Palatino Linotype" w:hAnsi="Palatino Linotype" w:eastAsia="等线" w:cs="Times New Roman"/>
          <w:b/>
          <w:bCs/>
          <w:color w:val="000000"/>
          <w:kern w:val="0"/>
          <w:szCs w:val="20"/>
        </w:rPr>
        <w:t>S4</w:t>
      </w:r>
      <w:r>
        <w:rPr>
          <w:rFonts w:ascii="Palatino Linotype" w:hAnsi="Palatino Linotype" w:eastAsia="等线" w:cs="Times New Roman"/>
          <w:b/>
          <w:bCs/>
          <w:color w:val="000000"/>
          <w:kern w:val="0"/>
          <w:szCs w:val="20"/>
        </w:rPr>
        <w:t>:</w:t>
      </w:r>
      <w:bookmarkEnd w:id="4"/>
      <w:r>
        <w:rPr>
          <w:rFonts w:ascii="Palatino Linotype" w:hAnsi="Palatino Linotype" w:eastAsia="宋体" w:cs="Times New Roman"/>
          <w:color w:val="000000"/>
          <w:kern w:val="0"/>
          <w:szCs w:val="20"/>
        </w:rPr>
        <w:t xml:space="preserve"> 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>Important KEGG pathways related to plant disease resistance mechanism. The plant hormone signal transduction of 12 h</w:t>
      </w:r>
      <w:r>
        <w:rPr>
          <w:rFonts w:hint="eastAsia" w:ascii="Palatino Linotype" w:hAnsi="Palatino Linotype" w:eastAsia="等线" w:cs="Times New Roman"/>
          <w:color w:val="000000"/>
          <w:kern w:val="0"/>
          <w:szCs w:val="20"/>
        </w:rPr>
        <w:t>pi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 xml:space="preserve"> (A) and 3 d</w:t>
      </w:r>
      <w:r>
        <w:rPr>
          <w:rFonts w:hint="eastAsia" w:ascii="Palatino Linotype" w:hAnsi="Palatino Linotype" w:eastAsia="等线" w:cs="Times New Roman"/>
          <w:color w:val="000000"/>
          <w:kern w:val="0"/>
          <w:szCs w:val="20"/>
        </w:rPr>
        <w:t>pi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 xml:space="preserve"> (B) and the MAPK signaling pathway-plant of 12 h</w:t>
      </w:r>
      <w:r>
        <w:rPr>
          <w:rFonts w:hint="eastAsia" w:ascii="Palatino Linotype" w:hAnsi="Palatino Linotype" w:eastAsia="等线" w:cs="Times New Roman"/>
          <w:color w:val="000000"/>
          <w:kern w:val="0"/>
          <w:szCs w:val="20"/>
        </w:rPr>
        <w:t>pi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 xml:space="preserve"> (C)</w:t>
      </w:r>
      <w:r>
        <w:rPr>
          <w:rFonts w:hint="eastAsia" w:ascii="Palatino Linotype" w:hAnsi="Palatino Linotype" w:eastAsia="等线" w:cs="Times New Roman"/>
          <w:color w:val="000000"/>
          <w:kern w:val="0"/>
          <w:szCs w:val="20"/>
        </w:rPr>
        <w:t xml:space="preserve"> 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>and 3 d</w:t>
      </w:r>
      <w:r>
        <w:rPr>
          <w:rFonts w:hint="eastAsia" w:ascii="Palatino Linotype" w:hAnsi="Palatino Linotype" w:eastAsia="等线" w:cs="Times New Roman"/>
          <w:color w:val="000000"/>
          <w:kern w:val="0"/>
          <w:szCs w:val="20"/>
        </w:rPr>
        <w:t>pi</w:t>
      </w:r>
      <w:r>
        <w:rPr>
          <w:rFonts w:ascii="Palatino Linotype" w:hAnsi="Palatino Linotype" w:eastAsia="等线" w:cs="Times New Roman"/>
          <w:color w:val="000000"/>
          <w:kern w:val="0"/>
          <w:szCs w:val="20"/>
        </w:rPr>
        <w:t xml:space="preserve"> (D). Red: up-regulated; Green: down-regulated; Yellow: both up-regulated and down-regulated.</w:t>
      </w:r>
    </w:p>
    <w:p>
      <w:pPr>
        <w:rPr>
          <w:rFonts w:ascii="Palatino Linotype" w:hAnsi="Palatino Linotype" w:eastAsia="等线" w:cs="Times New Roman"/>
          <w:color w:val="000000"/>
          <w:kern w:val="0"/>
          <w:szCs w:val="20"/>
        </w:rPr>
      </w:pPr>
    </w:p>
    <w:p>
      <w:pPr>
        <w:tabs>
          <w:tab w:val="left" w:pos="59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YmExMjU3OGQ2MzlmNGUwNjI5NzQ0YTk4ZWUyMjUifQ=="/>
  </w:docVars>
  <w:rsids>
    <w:rsidRoot w:val="00DB023C"/>
    <w:rsid w:val="001752BC"/>
    <w:rsid w:val="001A4022"/>
    <w:rsid w:val="001D1D97"/>
    <w:rsid w:val="002D3D0F"/>
    <w:rsid w:val="00333199"/>
    <w:rsid w:val="003A3A10"/>
    <w:rsid w:val="00412698"/>
    <w:rsid w:val="004462B8"/>
    <w:rsid w:val="00473B1F"/>
    <w:rsid w:val="00510B51"/>
    <w:rsid w:val="005464BB"/>
    <w:rsid w:val="00590E77"/>
    <w:rsid w:val="005F15A2"/>
    <w:rsid w:val="00676C20"/>
    <w:rsid w:val="006F4B61"/>
    <w:rsid w:val="007338E9"/>
    <w:rsid w:val="00740F82"/>
    <w:rsid w:val="0077359F"/>
    <w:rsid w:val="00785D4A"/>
    <w:rsid w:val="007A2D7E"/>
    <w:rsid w:val="00851785"/>
    <w:rsid w:val="00883545"/>
    <w:rsid w:val="008C1165"/>
    <w:rsid w:val="008D16CA"/>
    <w:rsid w:val="008F7C67"/>
    <w:rsid w:val="009246D3"/>
    <w:rsid w:val="009B07E2"/>
    <w:rsid w:val="009D3776"/>
    <w:rsid w:val="009E7C4E"/>
    <w:rsid w:val="009F70C1"/>
    <w:rsid w:val="00AD566E"/>
    <w:rsid w:val="00AE4D96"/>
    <w:rsid w:val="00B644E0"/>
    <w:rsid w:val="00B64D79"/>
    <w:rsid w:val="00B842C0"/>
    <w:rsid w:val="00C97FD6"/>
    <w:rsid w:val="00CE6CA3"/>
    <w:rsid w:val="00CF22D6"/>
    <w:rsid w:val="00D136DE"/>
    <w:rsid w:val="00DB023C"/>
    <w:rsid w:val="00DB6C30"/>
    <w:rsid w:val="00E03A73"/>
    <w:rsid w:val="00E60C22"/>
    <w:rsid w:val="0FDD5F4D"/>
    <w:rsid w:val="638E7A78"/>
    <w:rsid w:val="67DE3AC0"/>
    <w:rsid w:val="7672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199</Words>
  <Characters>1138</Characters>
  <Lines>9</Lines>
  <Paragraphs>2</Paragraphs>
  <TotalTime>16</TotalTime>
  <ScaleCrop>false</ScaleCrop>
  <LinksUpToDate>false</LinksUpToDate>
  <CharactersWithSpaces>1335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2024-04-23T07:33:00Z</dcterms:created>
  <dc:creator>允雅 毕</dc:creator>
  <cp:lastModifiedBy>86186</cp:lastModifiedBy>
  <dcterms:modified xsi:type="dcterms:W3CDTF">2024-04-23T09:20:32Z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E51A5165D45C417F9C8369CDD28F72E6_12</vt:lpwstr>
  </property>
</Properties>
</file>