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黑体" w:cs="Times New Roman"/>
          <w:sz w:val="21"/>
          <w:szCs w:val="21"/>
        </w:rPr>
        <w:t xml:space="preserve">Table </w:t>
      </w:r>
      <w:r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eastAsia="黑体" w:cs="Times New Roman"/>
          <w:sz w:val="21"/>
          <w:szCs w:val="21"/>
        </w:rPr>
        <w:t>1</w:t>
      </w:r>
      <w:r>
        <w:rPr>
          <w:rFonts w:hint="eastAsia" w:ascii="Times New Roman" w:hAnsi="Times New Roman" w:eastAsia="黑体" w:cs="Times New Roman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黑体" w:cs="Times New Roman"/>
          <w:sz w:val="21"/>
          <w:szCs w:val="21"/>
        </w:rPr>
        <w:t xml:space="preserve"> Primers used in this article</w:t>
      </w:r>
    </w:p>
    <w:tbl>
      <w:tblPr>
        <w:tblStyle w:val="4"/>
        <w:tblW w:w="8843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8"/>
        <w:gridCol w:w="617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Primer name</w:t>
            </w:r>
          </w:p>
        </w:tc>
        <w:tc>
          <w:tcPr>
            <w:tcW w:w="617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Primer sequence（5’ to 3’）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Bgactin-F</w:t>
            </w:r>
          </w:p>
        </w:tc>
        <w:tc>
          <w:tcPr>
            <w:tcW w:w="6175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TAGACCCTCCTATCCAAACA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Bgactin-R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TTTTCCAGCCTTCACTTATC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BgAP1-F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AGCAGCAACTTAACAATG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BgAP1-R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TCAATCTTCTCCTTATCCTT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BgAPRR5-F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TGCTGCTCAACTTCGTAA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BgAPRR5-R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TATTGTGCTTCCGCTTCA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BgCMB1-F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GAATATCTGAAGTTGAAGG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BgCMB1-R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TGTGTTGTGTCTTAATTG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BgDEFA-F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ACTAATAGACAGGTGACT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BgDEFA-R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CAACATCCATCATCTTCT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BgEIL1-F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CTCATTGTCCTCATAATCA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BgEIL1-R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TCCATCTGTAAGTTGTTG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BgFULL-F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GAGAATAAGATAAGTCGTCAAGT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BgFULL-R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TCGCACAGAACAGAGATT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BgNFYA3-F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ATCATCCAGTCAATCAAC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BgNFYA3-R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CATTCTTAGCACAACTCA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BgSPL16-F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CATAAGGTCTGTGAGGTT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BgSPL16-R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ATCATCTTCTTCAATAATAAATCC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BgPORA-F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CTCACAATGCAGGAGTTC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ans-serif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BgPORA-R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CTCTGAACAAGCCAGTAG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ALDO2-F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TCCATTGTTGTAGAAGTA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ALDO2-R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TATCTGCCTGTATAACTC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ALDO3-F</w:t>
            </w:r>
          </w:p>
        </w:tc>
        <w:tc>
          <w:tcPr>
            <w:tcW w:w="6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CCAGGCTCCAGAATATAC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ALDO3-R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AGTAATGATGCGAATGTTG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SPL8-F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AACAACAGCAACAACAAG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Bg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SPL8-R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GGTGACTTAGGAGGAATATC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1"/>
          <w:szCs w:val="21"/>
        </w:rPr>
      </w:pPr>
    </w:p>
    <w:p>
      <w:pPr>
        <w:rPr>
          <w:rFonts w:hint="default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1"/>
          <w:szCs w:val="21"/>
          <w:lang w:eastAsia="zh-CN"/>
        </w:rPr>
        <w:drawing>
          <wp:inline distT="0" distB="0" distL="114300" distR="114300">
            <wp:extent cx="5262245" cy="4661535"/>
            <wp:effectExtent l="0" t="0" r="8255" b="12065"/>
            <wp:docPr id="3" name="图片 3" descr="附图切片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图切片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66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lang w:val="en-US" w:eastAsia="zh-CN"/>
        </w:rPr>
        <w:t>.S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1 A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Resin section for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</w:rPr>
        <w:t xml:space="preserve"> B. glabra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bud development process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 xml:space="preserve">(a) undifferentiated period (b) floret primordial differentiation period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 xml:space="preserve">(c) whorls around the primordial perianth, Fig. B Paraffin sections of leaf buds and flower buds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(a) paraffin section at LB period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 xml:space="preserve"> (b) paraffin section at FB period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 xml:space="preserve"> Fig. C is an electron microscope scan of the development of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lang w:eastAsia="zh-CN"/>
        </w:rPr>
        <w:t xml:space="preserve"> B. glabra 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bracts at (a) B.glabra bracts at the BR1 period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 xml:space="preserve"> (b)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lang w:eastAsia="zh-CN"/>
        </w:rPr>
        <w:t xml:space="preserve"> B.glabra 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bracts at the BR3 period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 xml:space="preserve"> (c) </w:t>
      </w:r>
      <w:r>
        <w:rPr>
          <w:rFonts w:hint="default" w:ascii="Times New Roman" w:hAnsi="Times New Roman" w:cs="Times New Roman"/>
          <w:i/>
          <w:iCs/>
          <w:color w:val="auto"/>
          <w:sz w:val="21"/>
          <w:szCs w:val="21"/>
          <w:lang w:eastAsia="zh-CN"/>
        </w:rPr>
        <w:t xml:space="preserve">B .glabra 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bract BR5 period.</w:t>
      </w:r>
    </w:p>
    <w:p>
      <w:pPr>
        <w:jc w:val="center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4198620" cy="2367915"/>
            <wp:effectExtent l="0" t="0" r="5080" b="6985"/>
            <wp:docPr id="2" name="图片 2" descr="附图二修S2.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图二修S2.300dpi"/>
                    <pic:cNvPicPr>
                      <a:picLocks noChangeAspect="1"/>
                    </pic:cNvPicPr>
                  </pic:nvPicPr>
                  <pic:blipFill>
                    <a:blip r:embed="rId5"/>
                    <a:srcRect r="17904" b="25300"/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Fig.S2 Differential Gene Heat Map</w:t>
      </w:r>
    </w:p>
    <w:bookmarkEnd w:id="0"/>
    <w:p>
      <w:pP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</w:pPr>
    </w:p>
    <w:p>
      <w:pPr>
        <w:rPr>
          <w:rFonts w:hint="default" w:ascii="Times New Roman" w:hAnsi="Times New Roman" w:eastAsia="宋体" w:cs="Times New Roman"/>
          <w:b w:val="0"/>
          <w:i w:val="0"/>
          <w:i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iCs/>
          <w:color w:val="000000"/>
          <w:kern w:val="0"/>
          <w:sz w:val="21"/>
          <w:szCs w:val="21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109220</wp:posOffset>
            </wp:positionV>
            <wp:extent cx="5464810" cy="1600200"/>
            <wp:effectExtent l="0" t="0" r="8890" b="0"/>
            <wp:wrapTopAndBottom/>
            <wp:docPr id="7" name="图片 7" descr="KEGG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KEGG-3"/>
                    <pic:cNvPicPr>
                      <a:picLocks noChangeAspect="1"/>
                    </pic:cNvPicPr>
                  </pic:nvPicPr>
                  <pic:blipFill>
                    <a:blip r:embed="rId6"/>
                    <a:srcRect l="4578" t="10045" b="9770"/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Fig.S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Significantly enriched KEGG metabolic pathways at developmental stages are represented by bubble plots.A Fig. FB-VS-BR1 period,B Fig. BR2-VS-BR3 period,C Fig. BR1-VS-BR5</w:t>
      </w:r>
    </w:p>
    <w:p>
      <w:pPr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drawing>
          <wp:inline distT="0" distB="0" distL="114300" distR="114300">
            <wp:extent cx="3056255" cy="2714625"/>
            <wp:effectExtent l="0" t="0" r="4445" b="3175"/>
            <wp:docPr id="11" name="图片 11" descr="叶绿素.tx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叶绿素.txt_2"/>
                    <pic:cNvPicPr>
                      <a:picLocks noChangeAspect="1"/>
                    </pic:cNvPicPr>
                  </pic:nvPicPr>
                  <pic:blipFill>
                    <a:blip r:embed="rId7"/>
                    <a:srcRect l="33151" t="11065" r="32254" b="1586"/>
                    <a:stretch>
                      <a:fillRect/>
                    </a:stretch>
                  </pic:blipFill>
                  <pic:spPr>
                    <a:xfrm>
                      <a:off x="0" y="0"/>
                      <a:ext cx="305625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left="283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Fig.S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Differential protein network interaction map</w:t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drawing>
          <wp:inline distT="0" distB="0" distL="114300" distR="114300">
            <wp:extent cx="5274310" cy="2547620"/>
            <wp:effectExtent l="0" t="0" r="8890" b="5080"/>
            <wp:docPr id="4" name="图片 4" descr="图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3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Fig.S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t xml:space="preserve"> Gene module partition map</w:t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drawing>
          <wp:inline distT="0" distB="0" distL="114300" distR="114300">
            <wp:extent cx="5268595" cy="3947160"/>
            <wp:effectExtent l="0" t="0" r="1905" b="2540"/>
            <wp:docPr id="8" name="图片 8" descr="5fe2e366d4f61d22f6c9e7282b92f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fe2e366d4f61d22f6c9e7282b92f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Fig.S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6 </w:t>
      </w: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t xml:space="preserve">Heatmap of gene expression pattern and bar plot of eigengen expression of genes in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blue</w:t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t>module</w:t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drawing>
          <wp:inline distT="0" distB="0" distL="114300" distR="114300">
            <wp:extent cx="5270500" cy="4160520"/>
            <wp:effectExtent l="0" t="0" r="0" b="5080"/>
            <wp:docPr id="9" name="图片 9" descr="4e48bf660215230c3ef8b7bb28f3a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e48bf660215230c3ef8b7bb28f3a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Fig.S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7 </w:t>
      </w: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t xml:space="preserve">Heatmap of gene expression pattern and bar plot of eigengen expression of genes in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brown</w:t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t>Module</w:t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drawing>
          <wp:inline distT="0" distB="0" distL="114300" distR="114300">
            <wp:extent cx="5268595" cy="3975735"/>
            <wp:effectExtent l="0" t="0" r="1905" b="12065"/>
            <wp:docPr id="1" name="图片 1" descr="二修相关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修相关性分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left="283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Fig.S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Correlation analysis of gene FPKM values with RT-qPCR</w:t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left="283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left="283" w:leftChars="0" w:firstLine="0" w:firstLineChars="0"/>
        <w:textAlignment w:val="auto"/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drawing>
          <wp:inline distT="0" distB="0" distL="114300" distR="114300">
            <wp:extent cx="5272405" cy="2540000"/>
            <wp:effectExtent l="0" t="0" r="10795" b="0"/>
            <wp:docPr id="5" name="图片 5" descr="Rplot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Rplot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left="283" w:leftChars="0" w:firstLine="0" w:firstLineChars="0"/>
        <w:textAlignment w:val="auto"/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Fig.S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t>Gene scale independence and average connectivity of different powers under the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left="283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  <w:t>assumption of scaleless networks</w:t>
      </w:r>
    </w:p>
    <w:p>
      <w:pP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wYmRkNTc0Y2ZhODBlMjk0NzA0ZGIxMzM5YWEyYmYifQ=="/>
  </w:docVars>
  <w:rsids>
    <w:rsidRoot w:val="720B557A"/>
    <w:rsid w:val="277558ED"/>
    <w:rsid w:val="29DC74B4"/>
    <w:rsid w:val="3B281A9B"/>
    <w:rsid w:val="3D3202BD"/>
    <w:rsid w:val="3D9E46E1"/>
    <w:rsid w:val="4AC11B5E"/>
    <w:rsid w:val="6D631950"/>
    <w:rsid w:val="720B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三线表"/>
    <w:basedOn w:val="2"/>
    <w:autoRedefine/>
    <w:qFormat/>
    <w:uiPriority w:val="99"/>
    <w:tblPr>
      <w:tblBorders>
        <w:top w:val="single" w:color="auto" w:sz="12" w:space="0"/>
        <w:bottom w:val="single" w:color="auto" w:sz="1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2024-04-13T09:45:00Z</dcterms:created>
  <dc:creator>向东</dc:creator>
  <cp:lastModifiedBy>向东</cp:lastModifiedBy>
  <dcterms:modified xsi:type="dcterms:W3CDTF">2024-05-08T01:58:48Z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B573D5A290D2464BBCBF0FFD36EB7094_11</vt:lpwstr>
  </property>
</Properties>
</file>