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C5" w:rsidRPr="00E63C6D" w:rsidRDefault="007D57C5" w:rsidP="007D57C5">
      <w:pPr>
        <w:pBdr>
          <w:top w:val="nil"/>
          <w:left w:val="nil"/>
          <w:bottom w:val="nil"/>
          <w:right w:val="nil"/>
          <w:between w:val="nil"/>
        </w:pBdr>
        <w:spacing w:before="240" w:line="228" w:lineRule="auto"/>
        <w:rPr>
          <w:rFonts w:asciiTheme="minorHAnsi" w:hAnsiTheme="minorHAnsi"/>
          <w:b/>
          <w:sz w:val="22"/>
          <w:szCs w:val="22"/>
          <w:lang w:val="en-US"/>
        </w:rPr>
      </w:pPr>
      <w:bookmarkStart w:id="0" w:name="_GoBack"/>
      <w:r>
        <w:rPr>
          <w:rFonts w:asciiTheme="minorHAnsi" w:hAnsiTheme="minorHAnsi"/>
          <w:b/>
          <w:sz w:val="22"/>
          <w:szCs w:val="22"/>
          <w:lang w:val="en-US"/>
        </w:rPr>
        <w:t>Legends of s</w:t>
      </w:r>
      <w:r w:rsidRPr="00E63C6D">
        <w:rPr>
          <w:rFonts w:asciiTheme="minorHAnsi" w:hAnsiTheme="minorHAnsi"/>
          <w:b/>
          <w:sz w:val="22"/>
          <w:szCs w:val="22"/>
          <w:lang w:val="en-US"/>
        </w:rPr>
        <w:t xml:space="preserve">upplementary </w:t>
      </w:r>
      <w:r>
        <w:rPr>
          <w:rFonts w:asciiTheme="minorHAnsi" w:hAnsiTheme="minorHAnsi"/>
          <w:b/>
          <w:sz w:val="22"/>
          <w:szCs w:val="22"/>
          <w:lang w:val="en-US"/>
        </w:rPr>
        <w:t>figures</w:t>
      </w:r>
    </w:p>
    <w:bookmarkEnd w:id="0"/>
    <w:p w:rsidR="007D57C5" w:rsidRDefault="007D57C5" w:rsidP="007D57C5">
      <w:pPr>
        <w:pBdr>
          <w:top w:val="nil"/>
          <w:left w:val="nil"/>
          <w:bottom w:val="nil"/>
          <w:right w:val="nil"/>
          <w:between w:val="nil"/>
        </w:pBdr>
        <w:spacing w:before="240" w:line="228" w:lineRule="auto"/>
        <w:rPr>
          <w:rFonts w:asciiTheme="minorHAnsi" w:hAnsiTheme="minorHAnsi"/>
          <w:b/>
          <w:sz w:val="22"/>
          <w:szCs w:val="22"/>
          <w:lang w:val="en-US"/>
        </w:rPr>
      </w:pPr>
    </w:p>
    <w:p w:rsidR="007D57C5" w:rsidRPr="006F09A1" w:rsidRDefault="007D57C5" w:rsidP="007D57C5">
      <w:pPr>
        <w:spacing w:after="0"/>
        <w:rPr>
          <w:rFonts w:asciiTheme="minorHAnsi" w:hAnsiTheme="minorHAnsi" w:cstheme="minorHAnsi"/>
          <w:sz w:val="22"/>
          <w:szCs w:val="22"/>
        </w:rPr>
      </w:pPr>
      <w:r w:rsidRPr="006F09A1">
        <w:rPr>
          <w:rFonts w:asciiTheme="minorHAnsi" w:hAnsiTheme="minorHAnsi" w:cstheme="minorHAnsi"/>
          <w:b/>
          <w:sz w:val="22"/>
          <w:szCs w:val="22"/>
        </w:rPr>
        <w:t>Figure S1. Descriptive analysis of the RNA-</w:t>
      </w:r>
      <w:proofErr w:type="spellStart"/>
      <w:r w:rsidRPr="006F09A1">
        <w:rPr>
          <w:rFonts w:asciiTheme="minorHAnsi" w:hAnsiTheme="minorHAnsi" w:cstheme="minorHAnsi"/>
          <w:b/>
          <w:sz w:val="22"/>
          <w:szCs w:val="22"/>
        </w:rPr>
        <w:t>seq</w:t>
      </w:r>
      <w:proofErr w:type="spellEnd"/>
      <w:r w:rsidRPr="006F09A1">
        <w:rPr>
          <w:rFonts w:asciiTheme="minorHAnsi" w:hAnsiTheme="minorHAnsi" w:cstheme="minorHAnsi"/>
          <w:b/>
          <w:sz w:val="22"/>
          <w:szCs w:val="22"/>
        </w:rPr>
        <w:t xml:space="preserve"> data.</w:t>
      </w:r>
      <w:r w:rsidRPr="006F09A1">
        <w:rPr>
          <w:rFonts w:asciiTheme="minorHAnsi" w:hAnsiTheme="minorHAnsi" w:cstheme="minorHAnsi"/>
          <w:sz w:val="22"/>
          <w:szCs w:val="22"/>
        </w:rPr>
        <w:t xml:space="preserve"> </w:t>
      </w:r>
      <w:r w:rsidRPr="006F09A1">
        <w:rPr>
          <w:rFonts w:asciiTheme="minorHAnsi" w:hAnsiTheme="minorHAnsi" w:cstheme="minorHAnsi"/>
          <w:b/>
          <w:sz w:val="22"/>
          <w:szCs w:val="22"/>
        </w:rPr>
        <w:t>(A)</w:t>
      </w:r>
      <w:r w:rsidRPr="006F09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F09A1">
        <w:rPr>
          <w:rFonts w:asciiTheme="minorHAnsi" w:hAnsiTheme="minorHAnsi" w:cstheme="minorHAnsi"/>
          <w:sz w:val="22"/>
          <w:szCs w:val="22"/>
        </w:rPr>
        <w:t>Heatmap</w:t>
      </w:r>
      <w:proofErr w:type="spellEnd"/>
      <w:r w:rsidRPr="006F09A1">
        <w:rPr>
          <w:rFonts w:asciiTheme="minorHAnsi" w:hAnsiTheme="minorHAnsi" w:cstheme="minorHAnsi"/>
          <w:sz w:val="22"/>
          <w:szCs w:val="22"/>
        </w:rPr>
        <w:t xml:space="preserve"> of all samples comprising three replicates of each combined treated sample (N+WR; NN+WW; N+WW; NN+WW) and RNA fractions (TOTAL and PAR). </w:t>
      </w:r>
      <w:r w:rsidRPr="006F09A1">
        <w:rPr>
          <w:rFonts w:asciiTheme="minorHAnsi" w:hAnsiTheme="minorHAnsi" w:cstheme="minorHAnsi"/>
          <w:b/>
          <w:sz w:val="22"/>
          <w:szCs w:val="22"/>
        </w:rPr>
        <w:t>(B)</w:t>
      </w:r>
      <w:r w:rsidRPr="006F09A1">
        <w:rPr>
          <w:rFonts w:asciiTheme="minorHAnsi" w:hAnsiTheme="minorHAnsi" w:cstheme="minorHAnsi"/>
          <w:sz w:val="22"/>
          <w:szCs w:val="22"/>
        </w:rPr>
        <w:t xml:space="preserve"> Principal component analysis.</w:t>
      </w:r>
    </w:p>
    <w:p w:rsidR="007D57C5" w:rsidRPr="00E63C6D" w:rsidRDefault="007D57C5" w:rsidP="007D57C5">
      <w:pPr>
        <w:pBdr>
          <w:top w:val="nil"/>
          <w:left w:val="nil"/>
          <w:bottom w:val="nil"/>
          <w:right w:val="nil"/>
          <w:between w:val="nil"/>
        </w:pBdr>
        <w:spacing w:after="0" w:line="228" w:lineRule="auto"/>
        <w:rPr>
          <w:rFonts w:asciiTheme="minorHAnsi" w:hAnsiTheme="minorHAnsi"/>
          <w:b/>
          <w:sz w:val="22"/>
          <w:szCs w:val="22"/>
          <w:lang w:val="en-US"/>
        </w:rPr>
      </w:pPr>
    </w:p>
    <w:p w:rsidR="007D57C5" w:rsidRDefault="007D57C5" w:rsidP="007D57C5">
      <w:pPr>
        <w:spacing w:after="0"/>
        <w:rPr>
          <w:rFonts w:asciiTheme="minorHAnsi" w:hAnsiTheme="minorHAnsi" w:cstheme="minorHAnsi"/>
          <w:sz w:val="22"/>
          <w:szCs w:val="22"/>
        </w:rPr>
      </w:pPr>
      <w:r w:rsidRPr="00E63C6D">
        <w:rPr>
          <w:rFonts w:asciiTheme="minorHAnsi" w:hAnsiTheme="minorHAnsi"/>
          <w:b/>
          <w:sz w:val="22"/>
          <w:szCs w:val="22"/>
          <w:lang w:val="en-US"/>
        </w:rPr>
        <w:t xml:space="preserve">Figure S2.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Functional enrichment analysis of the co-expression modules most representatives of the differentially expressed genes (DEGs) in the different contrasts between treatments. (A)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M3.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 xml:space="preserve"> (B)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M5.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(C)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M6.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(D)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M7.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 xml:space="preserve">(E) 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M9.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(F)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M10.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(G)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M11. </w:t>
      </w:r>
      <w:r w:rsidRPr="00E63C6D"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t>(H)</w:t>
      </w:r>
      <w:r w:rsidRPr="00E63C6D">
        <w:rPr>
          <w:rFonts w:asciiTheme="minorHAnsi" w:eastAsia="Times New Roman" w:hAnsiTheme="minorHAnsi" w:cstheme="minorHAnsi"/>
          <w:sz w:val="22"/>
          <w:szCs w:val="22"/>
          <w:lang w:val="en-US"/>
        </w:rPr>
        <w:t xml:space="preserve"> M12. The top ten Gene Ontology </w:t>
      </w:r>
      <w:r w:rsidRPr="009E79BD">
        <w:rPr>
          <w:rFonts w:asciiTheme="minorHAnsi" w:hAnsiTheme="minorHAnsi" w:cstheme="minorHAnsi"/>
          <w:sz w:val="22"/>
          <w:szCs w:val="22"/>
        </w:rPr>
        <w:t>Biological Process (GO-BP) terms are shown for each module (y-axis).</w:t>
      </w:r>
    </w:p>
    <w:p w:rsidR="007D57C5" w:rsidRPr="009E79BD" w:rsidRDefault="007D57C5" w:rsidP="007D57C5">
      <w:pPr>
        <w:spacing w:after="0"/>
        <w:rPr>
          <w:rFonts w:asciiTheme="minorHAnsi" w:hAnsiTheme="minorHAnsi" w:cstheme="minorHAnsi"/>
          <w:sz w:val="22"/>
          <w:szCs w:val="22"/>
        </w:rPr>
      </w:pPr>
    </w:p>
    <w:p w:rsidR="007D57C5" w:rsidRPr="006F7A8B" w:rsidRDefault="007D57C5" w:rsidP="007D57C5">
      <w:pPr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6F7A8B">
        <w:rPr>
          <w:rFonts w:asciiTheme="minorHAnsi" w:hAnsiTheme="minorHAnsi" w:cstheme="minorHAnsi"/>
          <w:b/>
          <w:sz w:val="22"/>
          <w:szCs w:val="22"/>
        </w:rPr>
        <w:t xml:space="preserve">Figure S3. Water deficit assay imposition and monitoring. </w:t>
      </w:r>
    </w:p>
    <w:p w:rsidR="007D57C5" w:rsidRDefault="007D57C5" w:rsidP="007D57C5">
      <w:pPr>
        <w:spacing w:after="0"/>
        <w:rPr>
          <w:rFonts w:asciiTheme="minorHAnsi" w:hAnsiTheme="minorHAnsi" w:cstheme="minorHAnsi"/>
          <w:sz w:val="22"/>
          <w:szCs w:val="22"/>
        </w:rPr>
      </w:pPr>
      <w:r w:rsidRPr="00A53652">
        <w:rPr>
          <w:rFonts w:asciiTheme="minorHAnsi" w:hAnsiTheme="minorHAnsi" w:cstheme="minorHAnsi"/>
          <w:b/>
          <w:bCs/>
          <w:sz w:val="22"/>
          <w:szCs w:val="22"/>
        </w:rPr>
        <w:t>(A</w:t>
      </w:r>
      <w:r w:rsidRPr="00146B6E">
        <w:rPr>
          <w:rFonts w:asciiTheme="minorHAnsi" w:hAnsiTheme="minorHAnsi" w:cstheme="minorHAnsi"/>
          <w:b/>
          <w:bCs/>
          <w:sz w:val="22"/>
          <w:szCs w:val="22"/>
        </w:rPr>
        <w:t xml:space="preserve">) </w:t>
      </w:r>
      <w:r w:rsidRPr="00146B6E">
        <w:rPr>
          <w:rFonts w:asciiTheme="minorHAnsi" w:hAnsiTheme="minorHAnsi" w:cstheme="minorHAnsi"/>
          <w:bCs/>
          <w:sz w:val="22"/>
          <w:szCs w:val="22"/>
        </w:rPr>
        <w:t>Substrate water retention curves of WW plants comprising the two nodulation conditions (N and NN) during the water deficit assay (up to seven days). Stomatal conductance measurements (</w:t>
      </w:r>
      <w:proofErr w:type="spellStart"/>
      <w:r w:rsidRPr="00146B6E">
        <w:rPr>
          <w:rFonts w:asciiTheme="minorHAnsi" w:hAnsiTheme="minorHAnsi" w:cstheme="minorHAnsi"/>
          <w:bCs/>
          <w:sz w:val="22"/>
          <w:szCs w:val="22"/>
        </w:rPr>
        <w:t>g</w:t>
      </w:r>
      <w:r w:rsidRPr="00146B6E">
        <w:rPr>
          <w:rFonts w:asciiTheme="minorHAnsi" w:hAnsiTheme="minorHAnsi" w:cstheme="minorHAnsi"/>
          <w:bCs/>
          <w:sz w:val="22"/>
          <w:szCs w:val="22"/>
          <w:vertAlign w:val="subscript"/>
        </w:rPr>
        <w:t>WS</w:t>
      </w:r>
      <w:proofErr w:type="spellEnd"/>
      <w:r w:rsidRPr="00146B6E">
        <w:rPr>
          <w:rFonts w:asciiTheme="minorHAnsi" w:hAnsiTheme="minorHAnsi" w:cstheme="minorHAnsi"/>
          <w:bCs/>
          <w:sz w:val="22"/>
          <w:szCs w:val="22"/>
        </w:rPr>
        <w:t xml:space="preserve">) are shown for both N and NN plants, outlining the range of </w:t>
      </w:r>
      <w:proofErr w:type="spellStart"/>
      <w:r w:rsidRPr="00146B6E">
        <w:rPr>
          <w:rFonts w:asciiTheme="minorHAnsi" w:hAnsiTheme="minorHAnsi" w:cstheme="minorHAnsi"/>
          <w:bCs/>
          <w:sz w:val="22"/>
          <w:szCs w:val="22"/>
        </w:rPr>
        <w:t>g</w:t>
      </w:r>
      <w:r w:rsidRPr="00146B6E">
        <w:rPr>
          <w:rFonts w:asciiTheme="minorHAnsi" w:hAnsiTheme="minorHAnsi" w:cstheme="minorHAnsi"/>
          <w:bCs/>
          <w:sz w:val="22"/>
          <w:szCs w:val="22"/>
          <w:vertAlign w:val="subscript"/>
        </w:rPr>
        <w:t>WS</w:t>
      </w:r>
      <w:proofErr w:type="spellEnd"/>
      <w:r w:rsidRPr="00146B6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E0F2C">
        <w:rPr>
          <w:rFonts w:asciiTheme="minorHAnsi" w:hAnsiTheme="minorHAnsi" w:cstheme="minorHAnsi"/>
          <w:bCs/>
          <w:sz w:val="22"/>
          <w:szCs w:val="22"/>
        </w:rPr>
        <w:t xml:space="preserve">values </w:t>
      </w:r>
      <w:r w:rsidRPr="00F566FF">
        <w:rPr>
          <w:rFonts w:asciiTheme="minorHAnsi" w:hAnsiTheme="minorHAnsi" w:cstheme="minorHAnsi"/>
          <w:sz w:val="22"/>
          <w:szCs w:val="22"/>
        </w:rPr>
        <w:t xml:space="preserve">(223-367 </w:t>
      </w:r>
      <w:proofErr w:type="spellStart"/>
      <w:r w:rsidRPr="00F566FF">
        <w:rPr>
          <w:rFonts w:asciiTheme="minorHAnsi" w:hAnsiTheme="minorHAnsi" w:cstheme="minorHAnsi"/>
          <w:sz w:val="22"/>
          <w:szCs w:val="22"/>
        </w:rPr>
        <w:t>mmol</w:t>
      </w:r>
      <w:proofErr w:type="spellEnd"/>
      <w:r w:rsidRPr="00F566FF">
        <w:rPr>
          <w:rFonts w:asciiTheme="minorHAnsi" w:hAnsiTheme="minorHAnsi" w:cstheme="minorHAnsi"/>
          <w:sz w:val="22"/>
          <w:szCs w:val="22"/>
        </w:rPr>
        <w:t xml:space="preserve"> </w:t>
      </w:r>
      <w:r w:rsidRPr="00F566FF">
        <w:rPr>
          <w:rFonts w:asciiTheme="minorHAnsi" w:hAnsiTheme="minorHAnsi" w:cstheme="minorHAnsi"/>
          <w:bCs/>
          <w:sz w:val="22"/>
          <w:szCs w:val="22"/>
        </w:rPr>
        <w:t>m</w:t>
      </w:r>
      <w:r w:rsidRPr="00F566FF">
        <w:rPr>
          <w:rFonts w:asciiTheme="minorHAnsi" w:hAnsiTheme="minorHAnsi" w:cstheme="minorHAnsi"/>
          <w:bCs/>
          <w:sz w:val="22"/>
          <w:szCs w:val="22"/>
          <w:vertAlign w:val="superscript"/>
        </w:rPr>
        <w:t xml:space="preserve">-2 </w:t>
      </w:r>
      <w:r w:rsidRPr="00F566FF">
        <w:rPr>
          <w:rFonts w:asciiTheme="minorHAnsi" w:hAnsiTheme="minorHAnsi" w:cstheme="minorHAnsi"/>
          <w:bCs/>
          <w:sz w:val="22"/>
          <w:szCs w:val="22"/>
        </w:rPr>
        <w:t>s</w:t>
      </w:r>
      <w:r w:rsidRPr="00F566FF">
        <w:rPr>
          <w:rFonts w:asciiTheme="minorHAnsi" w:hAnsiTheme="minorHAnsi" w:cstheme="minorHAnsi"/>
          <w:bCs/>
          <w:sz w:val="22"/>
          <w:szCs w:val="22"/>
          <w:vertAlign w:val="superscript"/>
        </w:rPr>
        <w:t>-1</w:t>
      </w:r>
      <w:r w:rsidRPr="00F566FF">
        <w:rPr>
          <w:rFonts w:asciiTheme="minorHAnsi" w:hAnsiTheme="minorHAnsi" w:cstheme="minorHAnsi"/>
          <w:bCs/>
          <w:sz w:val="22"/>
          <w:szCs w:val="22"/>
        </w:rPr>
        <w:t xml:space="preserve"> and 118-337 </w:t>
      </w:r>
      <w:proofErr w:type="spellStart"/>
      <w:r w:rsidRPr="00F566FF">
        <w:rPr>
          <w:rFonts w:asciiTheme="minorHAnsi" w:hAnsiTheme="minorHAnsi" w:cstheme="minorHAnsi"/>
          <w:sz w:val="22"/>
          <w:szCs w:val="22"/>
        </w:rPr>
        <w:t>mmol</w:t>
      </w:r>
      <w:proofErr w:type="spellEnd"/>
      <w:r w:rsidRPr="00F566FF">
        <w:rPr>
          <w:rFonts w:asciiTheme="minorHAnsi" w:hAnsiTheme="minorHAnsi" w:cstheme="minorHAnsi"/>
          <w:sz w:val="22"/>
          <w:szCs w:val="22"/>
        </w:rPr>
        <w:t xml:space="preserve"> </w:t>
      </w:r>
      <w:r w:rsidRPr="00F566FF">
        <w:rPr>
          <w:rFonts w:asciiTheme="minorHAnsi" w:hAnsiTheme="minorHAnsi" w:cstheme="minorHAnsi"/>
          <w:bCs/>
          <w:sz w:val="22"/>
          <w:szCs w:val="22"/>
        </w:rPr>
        <w:t>m</w:t>
      </w:r>
      <w:r w:rsidRPr="00F566FF">
        <w:rPr>
          <w:rFonts w:asciiTheme="minorHAnsi" w:hAnsiTheme="minorHAnsi" w:cstheme="minorHAnsi"/>
          <w:bCs/>
          <w:sz w:val="22"/>
          <w:szCs w:val="22"/>
          <w:vertAlign w:val="superscript"/>
        </w:rPr>
        <w:t xml:space="preserve">-2 </w:t>
      </w:r>
      <w:r w:rsidRPr="00F566FF">
        <w:rPr>
          <w:rFonts w:asciiTheme="minorHAnsi" w:hAnsiTheme="minorHAnsi" w:cstheme="minorHAnsi"/>
          <w:bCs/>
          <w:sz w:val="22"/>
          <w:szCs w:val="22"/>
        </w:rPr>
        <w:t>s</w:t>
      </w:r>
      <w:r w:rsidRPr="00F566FF">
        <w:rPr>
          <w:rFonts w:asciiTheme="minorHAnsi" w:hAnsiTheme="minorHAnsi" w:cstheme="minorHAnsi"/>
          <w:bCs/>
          <w:sz w:val="22"/>
          <w:szCs w:val="22"/>
          <w:vertAlign w:val="superscript"/>
        </w:rPr>
        <w:t>-1</w:t>
      </w:r>
      <w:r w:rsidRPr="00F566FF">
        <w:rPr>
          <w:rFonts w:asciiTheme="minorHAnsi" w:hAnsiTheme="minorHAnsi" w:cstheme="minorHAnsi"/>
          <w:bCs/>
          <w:sz w:val="22"/>
          <w:szCs w:val="22"/>
        </w:rPr>
        <w:t xml:space="preserve"> for N and NN plants, respectively) </w:t>
      </w:r>
      <w:r w:rsidRPr="003E0F2C">
        <w:rPr>
          <w:rFonts w:asciiTheme="minorHAnsi" w:hAnsiTheme="minorHAnsi" w:cstheme="minorHAnsi"/>
          <w:bCs/>
          <w:sz w:val="22"/>
          <w:szCs w:val="22"/>
        </w:rPr>
        <w:t>that the WW plants had during the water de</w:t>
      </w:r>
      <w:r w:rsidRPr="00146B6E">
        <w:rPr>
          <w:rFonts w:asciiTheme="minorHAnsi" w:hAnsiTheme="minorHAnsi" w:cstheme="minorHAnsi"/>
          <w:bCs/>
          <w:sz w:val="22"/>
          <w:szCs w:val="22"/>
        </w:rPr>
        <w:t>ficit assay.</w:t>
      </w:r>
      <w:r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Pr="00A53652">
        <w:rPr>
          <w:rFonts w:asciiTheme="minorHAnsi" w:hAnsiTheme="minorHAnsi" w:cstheme="minorHAnsi"/>
          <w:b/>
          <w:sz w:val="22"/>
          <w:szCs w:val="22"/>
        </w:rPr>
        <w:t xml:space="preserve">(B) </w:t>
      </w:r>
      <w:r w:rsidRPr="00A53652">
        <w:rPr>
          <w:rFonts w:asciiTheme="minorHAnsi" w:hAnsiTheme="minorHAnsi" w:cstheme="minorHAnsi"/>
          <w:sz w:val="22"/>
          <w:szCs w:val="22"/>
        </w:rPr>
        <w:t xml:space="preserve">Substrate water retention curves and stomatal conductance measurements (expressed as the % of the value obtained </w:t>
      </w:r>
      <w:r>
        <w:rPr>
          <w:rFonts w:asciiTheme="minorHAnsi" w:hAnsiTheme="minorHAnsi" w:cstheme="minorHAnsi"/>
          <w:sz w:val="22"/>
          <w:szCs w:val="22"/>
        </w:rPr>
        <w:t>on</w:t>
      </w:r>
      <w:r w:rsidRPr="00A53652">
        <w:rPr>
          <w:rFonts w:asciiTheme="minorHAnsi" w:hAnsiTheme="minorHAnsi" w:cstheme="minorHAnsi"/>
          <w:sz w:val="22"/>
          <w:szCs w:val="22"/>
        </w:rPr>
        <w:t xml:space="preserve"> day 0</w:t>
      </w:r>
      <w:r>
        <w:rPr>
          <w:rFonts w:asciiTheme="minorHAnsi" w:hAnsiTheme="minorHAnsi" w:cstheme="minorHAnsi"/>
          <w:sz w:val="22"/>
          <w:szCs w:val="22"/>
        </w:rPr>
        <w:t>; %g</w:t>
      </w:r>
      <w:r w:rsidRPr="00FC76F6">
        <w:rPr>
          <w:rFonts w:asciiTheme="minorHAnsi" w:hAnsiTheme="minorHAnsi" w:cstheme="minorHAnsi"/>
          <w:sz w:val="22"/>
          <w:szCs w:val="22"/>
          <w:vertAlign w:val="subscript"/>
        </w:rPr>
        <w:t>SW0</w:t>
      </w:r>
      <w:r w:rsidRPr="00A53652">
        <w:rPr>
          <w:rFonts w:asciiTheme="minorHAnsi" w:hAnsiTheme="minorHAnsi" w:cstheme="minorHAnsi"/>
          <w:sz w:val="22"/>
          <w:szCs w:val="22"/>
        </w:rPr>
        <w:t xml:space="preserve">) of WR plants comprising the two nodulation conditions (N and NN) during the </w:t>
      </w:r>
      <w:r>
        <w:rPr>
          <w:rFonts w:asciiTheme="minorHAnsi" w:hAnsiTheme="minorHAnsi" w:cstheme="minorHAnsi"/>
          <w:sz w:val="22"/>
          <w:szCs w:val="22"/>
        </w:rPr>
        <w:t xml:space="preserve">period of the </w:t>
      </w:r>
      <w:r w:rsidRPr="00A53652">
        <w:rPr>
          <w:rFonts w:asciiTheme="minorHAnsi" w:hAnsiTheme="minorHAnsi" w:cstheme="minorHAnsi"/>
          <w:sz w:val="22"/>
          <w:szCs w:val="22"/>
        </w:rPr>
        <w:t>water deficit assay</w:t>
      </w:r>
      <w:r>
        <w:rPr>
          <w:rFonts w:asciiTheme="minorHAnsi" w:hAnsiTheme="minorHAnsi" w:cstheme="minorHAnsi"/>
          <w:sz w:val="22"/>
          <w:szCs w:val="22"/>
        </w:rPr>
        <w:t xml:space="preserve"> (up to seven days)</w:t>
      </w:r>
      <w:r w:rsidRPr="00A53652">
        <w:rPr>
          <w:rFonts w:asciiTheme="minorHAnsi" w:hAnsiTheme="minorHAnsi" w:cstheme="minorHAnsi"/>
          <w:sz w:val="22"/>
          <w:szCs w:val="22"/>
        </w:rPr>
        <w:t xml:space="preserve">. WW: well-watered plants; WR: water-restricted plants; N: </w:t>
      </w:r>
      <w:proofErr w:type="spellStart"/>
      <w:r w:rsidRPr="00A53652">
        <w:rPr>
          <w:rFonts w:asciiTheme="minorHAnsi" w:hAnsiTheme="minorHAnsi" w:cstheme="minorHAnsi"/>
          <w:sz w:val="22"/>
          <w:szCs w:val="22"/>
        </w:rPr>
        <w:t>nodulated</w:t>
      </w:r>
      <w:proofErr w:type="spellEnd"/>
      <w:r w:rsidRPr="00A53652">
        <w:rPr>
          <w:rFonts w:asciiTheme="minorHAnsi" w:hAnsiTheme="minorHAnsi" w:cstheme="minorHAnsi"/>
          <w:sz w:val="22"/>
          <w:szCs w:val="22"/>
        </w:rPr>
        <w:t xml:space="preserve"> plants; NN: non-</w:t>
      </w:r>
      <w:proofErr w:type="spellStart"/>
      <w:r w:rsidRPr="00A53652">
        <w:rPr>
          <w:rFonts w:asciiTheme="minorHAnsi" w:hAnsiTheme="minorHAnsi" w:cstheme="minorHAnsi"/>
          <w:sz w:val="22"/>
          <w:szCs w:val="22"/>
        </w:rPr>
        <w:t>nodulated</w:t>
      </w:r>
      <w:proofErr w:type="spellEnd"/>
      <w:r w:rsidRPr="00A53652">
        <w:rPr>
          <w:rFonts w:asciiTheme="minorHAnsi" w:hAnsiTheme="minorHAnsi" w:cstheme="minorHAnsi"/>
          <w:sz w:val="22"/>
          <w:szCs w:val="22"/>
        </w:rPr>
        <w:t xml:space="preserve"> plants; </w:t>
      </w:r>
      <w:proofErr w:type="spellStart"/>
      <w:r w:rsidRPr="00A53652">
        <w:rPr>
          <w:rFonts w:asciiTheme="minorHAnsi" w:hAnsiTheme="minorHAnsi" w:cstheme="minorHAnsi"/>
          <w:sz w:val="22"/>
          <w:szCs w:val="22"/>
        </w:rPr>
        <w:t>g</w:t>
      </w:r>
      <w:r w:rsidRPr="00A53652">
        <w:rPr>
          <w:rFonts w:asciiTheme="minorHAnsi" w:hAnsiTheme="minorHAnsi" w:cstheme="minorHAnsi"/>
          <w:sz w:val="22"/>
          <w:szCs w:val="22"/>
          <w:vertAlign w:val="subscript"/>
        </w:rPr>
        <w:t>sw</w:t>
      </w:r>
      <w:proofErr w:type="spellEnd"/>
      <w:r w:rsidRPr="00A53652">
        <w:rPr>
          <w:rFonts w:asciiTheme="minorHAnsi" w:hAnsiTheme="minorHAnsi" w:cstheme="minorHAnsi"/>
          <w:sz w:val="22"/>
          <w:szCs w:val="22"/>
        </w:rPr>
        <w:t xml:space="preserve">: stomatal conductance. </w:t>
      </w:r>
      <w:r w:rsidRPr="0075443F">
        <w:rPr>
          <w:rFonts w:asciiTheme="minorHAnsi" w:hAnsiTheme="minorHAnsi" w:cstheme="minorHAnsi"/>
          <w:sz w:val="22"/>
          <w:szCs w:val="22"/>
        </w:rPr>
        <w:t>The dotted line in the g</w:t>
      </w:r>
      <w:r w:rsidRPr="0075443F">
        <w:rPr>
          <w:rFonts w:asciiTheme="minorHAnsi" w:hAnsiTheme="minorHAnsi" w:cstheme="minorHAnsi"/>
          <w:sz w:val="22"/>
          <w:szCs w:val="22"/>
          <w:vertAlign w:val="subscript"/>
        </w:rPr>
        <w:t>SW0</w:t>
      </w:r>
      <w:r w:rsidRPr="0075443F">
        <w:rPr>
          <w:rFonts w:asciiTheme="minorHAnsi" w:hAnsiTheme="minorHAnsi" w:cstheme="minorHAnsi"/>
          <w:sz w:val="22"/>
          <w:szCs w:val="22"/>
        </w:rPr>
        <w:t xml:space="preserve"> graphs indicates the % of </w:t>
      </w:r>
      <w:proofErr w:type="spellStart"/>
      <w:r w:rsidRPr="0075443F">
        <w:rPr>
          <w:rFonts w:asciiTheme="minorHAnsi" w:hAnsiTheme="minorHAnsi" w:cstheme="minorHAnsi"/>
          <w:sz w:val="22"/>
          <w:szCs w:val="22"/>
        </w:rPr>
        <w:t>g</w:t>
      </w:r>
      <w:r w:rsidRPr="0075443F">
        <w:rPr>
          <w:rFonts w:asciiTheme="minorHAnsi" w:hAnsiTheme="minorHAnsi" w:cstheme="minorHAnsi"/>
          <w:sz w:val="22"/>
          <w:szCs w:val="22"/>
          <w:vertAlign w:val="subscript"/>
        </w:rPr>
        <w:t>sw</w:t>
      </w:r>
      <w:proofErr w:type="spellEnd"/>
      <w:r w:rsidRPr="0075443F">
        <w:rPr>
          <w:rFonts w:asciiTheme="minorHAnsi" w:hAnsiTheme="minorHAnsi" w:cstheme="minorHAnsi"/>
          <w:sz w:val="22"/>
          <w:szCs w:val="22"/>
        </w:rPr>
        <w:t xml:space="preserve">, with respect to day 0, at which the plants were considered to be stressed and were subsequently harvested. </w:t>
      </w:r>
      <w:r w:rsidRPr="009A1214">
        <w:rPr>
          <w:rFonts w:asciiTheme="minorHAnsi" w:hAnsiTheme="minorHAnsi" w:cstheme="minorHAnsi"/>
          <w:sz w:val="22"/>
          <w:szCs w:val="22"/>
        </w:rPr>
        <w:t>HP (%): amount of water in the substrate (</w:t>
      </w:r>
      <w:proofErr w:type="spellStart"/>
      <w:proofErr w:type="gramStart"/>
      <w:r w:rsidRPr="009A1214">
        <w:rPr>
          <w:rFonts w:asciiTheme="minorHAnsi" w:hAnsiTheme="minorHAnsi" w:cstheme="minorHAnsi"/>
          <w:sz w:val="22"/>
          <w:szCs w:val="22"/>
        </w:rPr>
        <w:t>sand:vermiculite</w:t>
      </w:r>
      <w:proofErr w:type="spellEnd"/>
      <w:proofErr w:type="gramEnd"/>
      <w:r w:rsidRPr="009A1214">
        <w:rPr>
          <w:rFonts w:asciiTheme="minorHAnsi" w:hAnsiTheme="minorHAnsi" w:cstheme="minorHAnsi"/>
          <w:sz w:val="22"/>
          <w:szCs w:val="22"/>
        </w:rPr>
        <w:t xml:space="preserve">, 1:1) expressed as a % of its dry weight. The </w:t>
      </w:r>
      <w:r w:rsidRPr="00A53652">
        <w:rPr>
          <w:rFonts w:asciiTheme="minorHAnsi" w:hAnsiTheme="minorHAnsi" w:cstheme="minorHAnsi"/>
          <w:sz w:val="22"/>
          <w:szCs w:val="22"/>
        </w:rPr>
        <w:t>dotted line indicates the HP (%) at which the substrate is at its field capacity (40% in the case of the substrate used in this assay).</w:t>
      </w:r>
    </w:p>
    <w:p w:rsidR="007D57C5" w:rsidRPr="00A53652" w:rsidRDefault="007D57C5" w:rsidP="007D57C5">
      <w:pPr>
        <w:spacing w:after="0"/>
        <w:ind w:firstLine="708"/>
        <w:rPr>
          <w:rFonts w:asciiTheme="minorHAnsi" w:hAnsiTheme="minorHAnsi" w:cstheme="minorHAnsi"/>
          <w:sz w:val="22"/>
          <w:szCs w:val="22"/>
        </w:rPr>
      </w:pPr>
    </w:p>
    <w:p w:rsidR="007D57C5" w:rsidRDefault="007D57C5" w:rsidP="007D57C5">
      <w:pPr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0079B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Figure S4. </w:t>
      </w:r>
      <w:r>
        <w:rPr>
          <w:rFonts w:asciiTheme="minorHAnsi" w:hAnsiTheme="minorHAnsi" w:cstheme="minorHAnsi"/>
          <w:b/>
          <w:sz w:val="22"/>
          <w:szCs w:val="22"/>
        </w:rPr>
        <w:t xml:space="preserve">Identification of Venn diagram intersections. </w:t>
      </w:r>
    </w:p>
    <w:p w:rsidR="00B21B15" w:rsidRDefault="00B21B15"/>
    <w:sectPr w:rsidR="00B21B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C5"/>
    <w:rsid w:val="007D57C5"/>
    <w:rsid w:val="00B2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E05C3"/>
  <w15:chartTrackingRefBased/>
  <w15:docId w15:val="{B6092682-9170-4326-A642-616E0376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D57C5"/>
    <w:pPr>
      <w:spacing w:line="480" w:lineRule="auto"/>
      <w:jc w:val="both"/>
    </w:pPr>
    <w:rPr>
      <w:rFonts w:ascii="Palatino Linotype" w:eastAsia="Palatino Linotype" w:hAnsi="Palatino Linotype" w:cs="Palatino Linotype"/>
      <w:sz w:val="20"/>
      <w:szCs w:val="20"/>
      <w:lang w:val="en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1625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Martha Sainz</dc:creator>
  <cp:keywords/>
  <dc:description/>
  <cp:lastModifiedBy>Maria Martha Sainz</cp:lastModifiedBy>
  <cp:revision>1</cp:revision>
  <dcterms:created xsi:type="dcterms:W3CDTF">2024-05-24T12:17:00Z</dcterms:created>
  <dcterms:modified xsi:type="dcterms:W3CDTF">2024-05-24T12:21:00Z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2dcb34f3-cb0c-4f59-addd-8ad15b458782</vt:lpwstr>
  </property>
</Properties>
</file>