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453" w:rsidRPr="005120F6" w:rsidRDefault="005120F6">
      <w:r w:rsidRPr="005120F6">
        <w:t xml:space="preserve">Supplementary Figure 1: Symptom development in </w:t>
      </w:r>
      <w:r w:rsidRPr="005120F6">
        <w:rPr>
          <w:i/>
        </w:rPr>
        <w:t>Pinus pinaster</w:t>
      </w:r>
      <w:r w:rsidRPr="005120F6">
        <w:t xml:space="preserve"> and </w:t>
      </w:r>
      <w:r w:rsidRPr="005120F6">
        <w:rPr>
          <w:i/>
        </w:rPr>
        <w:t>Pinus radiata</w:t>
      </w:r>
      <w:r w:rsidRPr="005120F6">
        <w:t xml:space="preserve"> at 5, 10, and 21 days post inoculation</w:t>
      </w:r>
      <w:r>
        <w:t xml:space="preserve"> (dpi)</w:t>
      </w:r>
      <w:r w:rsidRPr="005120F6">
        <w:t xml:space="preserve"> with </w:t>
      </w:r>
      <w:r w:rsidRPr="005120F6">
        <w:rPr>
          <w:i/>
        </w:rPr>
        <w:t>Fusarium circinatum</w:t>
      </w:r>
      <w:r w:rsidRPr="005120F6">
        <w:t>.</w:t>
      </w:r>
    </w:p>
    <w:p w:rsidR="005120F6" w:rsidRPr="005120F6" w:rsidRDefault="005120F6">
      <w:pPr>
        <w:rPr>
          <w:lang w:val="es-ES"/>
        </w:rPr>
      </w:pPr>
      <w:r>
        <w:rPr>
          <w:noProof/>
        </w:rPr>
        <w:drawing>
          <wp:inline distT="0" distB="0" distL="0" distR="0">
            <wp:extent cx="6324600" cy="40233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20F6" w:rsidRPr="005120F6" w:rsidSect="00983B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F6"/>
    <w:rsid w:val="005120F6"/>
    <w:rsid w:val="00983B74"/>
    <w:rsid w:val="00BF6453"/>
    <w:rsid w:val="00CB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70C42A"/>
  <w15:chartTrackingRefBased/>
  <w15:docId w15:val="{77A84B43-593F-4932-9487-F634F8D6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Ineco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2024-06-12T11:40:00Z</dcterms:created>
  <dcterms:modified xsi:type="dcterms:W3CDTF">2024-06-12T11:45:00Z</dcterms:modified>
</cp:coreProperties>
</file>