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before="0" w:after="0"/>
        <w:jc w:val="both"/>
        <w:rPr>
          <w:b/>
          <w:b/>
          <w:color w:val="000000"/>
          <w:sz w:val="28"/>
          <w:szCs w:val="28"/>
        </w:rPr>
      </w:pPr>
      <w:r>
        <w:rPr>
          <w:b/>
          <w:color w:val="000000"/>
          <w:sz w:val="28"/>
          <w:szCs w:val="28"/>
        </w:rPr>
        <w:t>Supplementary Information</w:t>
      </w:r>
    </w:p>
    <w:p>
      <w:pPr>
        <w:pStyle w:val="Normal"/>
        <w:spacing w:lineRule="auto" w:line="480" w:before="0" w:after="0"/>
        <w:jc w:val="both"/>
        <w:rPr>
          <w:highlight w:val="yellow"/>
        </w:rPr>
      </w:pPr>
      <w:r>
        <w:rPr>
          <w:b/>
        </w:rPr>
        <w:t>Supplementary Table 1.</w:t>
      </w:r>
      <w:r>
        <w:rPr/>
        <w:t xml:space="preserve"> </w:t>
      </w:r>
      <w:r>
        <w:rPr>
          <w:b/>
        </w:rPr>
        <w:t xml:space="preserve">Locality details for </w:t>
      </w:r>
      <w:r>
        <w:rPr>
          <w:b/>
          <w:i/>
        </w:rPr>
        <w:t xml:space="preserve">Pulmonaria </w:t>
      </w:r>
      <w:r>
        <w:rPr>
          <w:b/>
        </w:rPr>
        <w:t>populations sampled in this study.</w:t>
      </w:r>
      <w:r>
        <w:rPr/>
        <w:t xml:space="preserve"> The number of plants analyzed and the results of the flow cytometric analysis are given.</w:t>
      </w:r>
    </w:p>
    <w:p>
      <w:pPr>
        <w:pStyle w:val="Normal"/>
        <w:spacing w:lineRule="auto" w:line="480" w:before="0" w:after="0"/>
        <w:jc w:val="both"/>
        <w:rPr>
          <w:b/>
          <w:b/>
        </w:rPr>
      </w:pPr>
      <w:r>
        <w:rPr>
          <w:b/>
        </w:rPr>
      </w:r>
    </w:p>
    <w:p>
      <w:pPr>
        <w:pStyle w:val="Normal"/>
        <w:spacing w:lineRule="auto" w:line="480" w:before="0" w:after="0"/>
        <w:jc w:val="both"/>
        <w:rPr>
          <w:b/>
          <w:b/>
        </w:rPr>
      </w:pPr>
      <w:r>
        <w:rPr>
          <w:b/>
        </w:rPr>
        <w:t>Supplementary Table 2.</w:t>
      </w:r>
      <w:r>
        <w:rPr/>
        <w:t xml:space="preserve"> </w:t>
      </w:r>
      <w:r>
        <w:rPr>
          <w:b/>
        </w:rPr>
        <w:t xml:space="preserve">List of revisited karyological data reported for </w:t>
      </w:r>
      <w:r>
        <w:rPr>
          <w:b/>
          <w:i/>
        </w:rPr>
        <w:t xml:space="preserve">Pulmonaria officinalis </w:t>
      </w:r>
      <w:r>
        <w:rPr>
          <w:b/>
        </w:rPr>
        <w:t>complex.</w:t>
      </w:r>
    </w:p>
    <w:p>
      <w:pPr>
        <w:pStyle w:val="Normal"/>
        <w:spacing w:lineRule="auto" w:line="480" w:before="0" w:after="0"/>
        <w:jc w:val="both"/>
        <w:rPr>
          <w:b/>
          <w:b/>
        </w:rPr>
      </w:pPr>
      <w:r>
        <w:rPr>
          <w:b/>
        </w:rPr>
      </w:r>
    </w:p>
    <w:p>
      <w:pPr>
        <w:pStyle w:val="Normal"/>
        <w:spacing w:lineRule="auto" w:line="480" w:before="0" w:after="0"/>
        <w:jc w:val="both"/>
        <w:rPr>
          <w:b/>
          <w:b/>
        </w:rPr>
      </w:pPr>
      <w:r>
        <w:rPr>
          <w:b/>
        </w:rPr>
        <w:t>Supplementary Table 3. Proportion of repetitive DNA sequences identified in the single species clustering analysis.</w:t>
      </w:r>
    </w:p>
    <w:p>
      <w:pPr>
        <w:pStyle w:val="Normal"/>
        <w:widowControl/>
        <w:suppressAutoHyphens w:val="true"/>
        <w:overflowPunct w:val="true"/>
        <w:bidi w:val="0"/>
        <w:spacing w:lineRule="auto" w:line="480" w:before="0" w:after="0"/>
        <w:jc w:val="both"/>
        <w:rPr>
          <w:b/>
          <w:b/>
          <w:highlight w:val="yellow"/>
        </w:rPr>
      </w:pPr>
      <w:r>
        <w:rPr>
          <w:b/>
          <w:highlight w:val="yellow"/>
        </w:rPr>
      </w:r>
    </w:p>
    <w:p>
      <w:pPr>
        <w:pStyle w:val="Normal"/>
        <w:spacing w:lineRule="auto" w:line="480" w:before="0" w:after="0"/>
        <w:jc w:val="both"/>
        <w:rPr>
          <w:b/>
          <w:b/>
        </w:rPr>
      </w:pPr>
      <w:r>
        <w:rPr>
          <w:b/>
        </w:rPr>
      </w:r>
    </w:p>
    <w:p>
      <w:pPr>
        <w:pStyle w:val="Normal"/>
        <w:spacing w:lineRule="auto" w:line="480" w:before="0" w:after="0"/>
        <w:jc w:val="both"/>
        <w:rPr>
          <w:b/>
          <w:b/>
        </w:rPr>
      </w:pPr>
      <w:r>
        <w:rPr>
          <w:b/>
        </w:rPr>
        <w:t xml:space="preserve">Supplementary Table 4. Satellite DNAs observed </w:t>
      </w:r>
      <w:r>
        <w:rPr>
          <w:b/>
          <w:i/>
        </w:rPr>
        <w:t>in silico</w:t>
      </w:r>
      <w:r>
        <w:rPr>
          <w:b/>
        </w:rPr>
        <w:t xml:space="preserve"> by TAREAN analysis of </w:t>
      </w:r>
      <w:r>
        <w:rPr>
          <w:b/>
          <w:i/>
        </w:rPr>
        <w:t>P. obscura</w:t>
      </w:r>
      <w:r>
        <w:rPr>
          <w:b/>
        </w:rPr>
        <w:t xml:space="preserve"> and </w:t>
      </w:r>
      <w:r>
        <w:rPr>
          <w:b/>
          <w:i/>
        </w:rPr>
        <w:t>P. officinalis</w:t>
      </w:r>
      <w:r>
        <w:rPr>
          <w:b/>
        </w:rPr>
        <w:t xml:space="preserve"> in the Illumina data.</w:t>
      </w:r>
    </w:p>
    <w:p>
      <w:pPr>
        <w:pStyle w:val="Normal"/>
        <w:spacing w:lineRule="auto" w:line="480" w:before="0" w:after="0"/>
        <w:jc w:val="both"/>
        <w:rPr>
          <w:b/>
          <w:b/>
        </w:rPr>
      </w:pPr>
      <w:r>
        <w:rPr>
          <w:b/>
        </w:rPr>
      </w:r>
    </w:p>
    <w:p>
      <w:pPr>
        <w:pStyle w:val="Normal"/>
        <w:spacing w:lineRule="auto" w:line="480" w:before="0" w:after="0"/>
        <w:jc w:val="both"/>
        <w:rPr>
          <w:b/>
          <w:b/>
          <w:highlight w:val="yellow"/>
        </w:rPr>
      </w:pPr>
      <w:r>
        <w:rPr>
          <w:b/>
        </w:rPr>
        <w:t xml:space="preserve">Supplementary Table 5. List of published genome size data (2C in pg) for </w:t>
      </w:r>
      <w:r>
        <w:rPr>
          <w:b/>
          <w:i/>
        </w:rPr>
        <w:t>Pulmonaria</w:t>
      </w:r>
      <w:r>
        <w:rPr>
          <w:b/>
        </w:rPr>
        <w:t>.</w:t>
      </w:r>
    </w:p>
    <w:p>
      <w:pPr>
        <w:pStyle w:val="Normal"/>
        <w:spacing w:lineRule="auto" w:line="480" w:before="0" w:after="0"/>
        <w:jc w:val="both"/>
        <w:rPr>
          <w:b/>
          <w:b/>
        </w:rPr>
      </w:pPr>
      <w:r>
        <w:rPr>
          <w:b/>
        </w:rPr>
      </w:r>
    </w:p>
    <w:p>
      <w:pPr>
        <w:pStyle w:val="Normal"/>
        <w:spacing w:lineRule="auto" w:line="480" w:before="0" w:after="0"/>
        <w:jc w:val="both"/>
        <w:rPr>
          <w:b/>
          <w:b/>
        </w:rPr>
      </w:pPr>
      <w:r>
        <w:rPr>
          <w:b/>
        </w:rPr>
        <w:t>Supplementary Table 6. Number of Illumina reads used for RepeatExplorer analysis.</w:t>
      </w:r>
    </w:p>
    <w:p>
      <w:pPr>
        <w:pStyle w:val="Normal"/>
        <w:spacing w:lineRule="auto" w:line="480" w:before="0" w:after="0"/>
        <w:jc w:val="both"/>
        <w:rPr>
          <w:b/>
          <w:b/>
        </w:rPr>
      </w:pPr>
      <w:r>
        <w:rPr>
          <w:b/>
        </w:rPr>
      </w:r>
    </w:p>
    <w:p>
      <w:pPr>
        <w:pStyle w:val="Normal"/>
        <w:spacing w:lineRule="auto" w:line="480" w:before="0" w:after="0"/>
        <w:jc w:val="both"/>
        <w:rPr>
          <w:color w:val="00000A"/>
        </w:rPr>
      </w:pPr>
      <w:r>
        <w:rPr/>
        <w:t xml:space="preserve"> </w:t>
      </w:r>
    </w:p>
    <w:p>
      <w:pPr>
        <w:pStyle w:val="Normal"/>
        <w:spacing w:lineRule="auto" w:line="480" w:before="0" w:after="0"/>
        <w:jc w:val="both"/>
        <w:rPr>
          <w:b/>
          <w:b/>
        </w:rPr>
      </w:pPr>
      <w:r>
        <w:rPr>
          <w:b/>
        </w:rPr>
        <w:t xml:space="preserve">Supplementary Figure 1. Dotter analysis of 45S rDNA units from all </w:t>
      </w:r>
      <w:r>
        <w:rPr>
          <w:b/>
          <w:i/>
        </w:rPr>
        <w:t>Pulmonaria</w:t>
      </w:r>
      <w:r>
        <w:rPr>
          <w:b/>
        </w:rPr>
        <w:t xml:space="preserve"> accessions analyzed, reconstructed from Illumina reads using RepeatExplorer2.</w:t>
      </w:r>
    </w:p>
    <w:p>
      <w:pPr>
        <w:pStyle w:val="Normal"/>
        <w:spacing w:lineRule="auto" w:line="480" w:before="0" w:after="0"/>
        <w:jc w:val="both"/>
        <w:rPr>
          <w:b/>
          <w:b/>
        </w:rPr>
      </w:pPr>
      <w:r>
        <w:rPr>
          <w:b/>
        </w:rPr>
      </w:r>
    </w:p>
    <w:p>
      <w:pPr>
        <w:pStyle w:val="Normal"/>
        <w:spacing w:lineRule="auto" w:line="480" w:before="0" w:after="0"/>
        <w:jc w:val="both"/>
        <w:rPr/>
      </w:pPr>
      <w:r>
        <w:rPr>
          <w:b/>
        </w:rPr>
        <w:t xml:space="preserve">Supplementary Figure 2. Dotter analysis of 3.5 kb long part of IGS. </w:t>
      </w:r>
      <w:r>
        <w:rPr/>
        <w:t xml:space="preserve">(A) </w:t>
      </w:r>
      <w:r>
        <w:rPr>
          <w:i/>
        </w:rPr>
        <w:t>P. obscura</w:t>
      </w:r>
      <w:r>
        <w:rPr/>
        <w:t xml:space="preserve">, (B) </w:t>
      </w:r>
      <w:r>
        <w:rPr>
          <w:i/>
        </w:rPr>
        <w:t>P. officinalis</w:t>
      </w:r>
      <w:r>
        <w:rPr/>
        <w:t xml:space="preserve">, and (C) their comparison. The first part of inverted regions in the IGS, and two larger indels between </w:t>
      </w:r>
      <w:r>
        <w:rPr>
          <w:i/>
        </w:rPr>
        <w:t>P. obscura</w:t>
      </w:r>
      <w:r>
        <w:rPr/>
        <w:t xml:space="preserve"> and P. </w:t>
      </w:r>
      <w:r>
        <w:rPr>
          <w:i/>
        </w:rPr>
        <w:t xml:space="preserve">officinalis </w:t>
      </w:r>
      <w:r>
        <w:rPr/>
        <w:t xml:space="preserve">are marked by pink arrows. </w:t>
      </w:r>
    </w:p>
    <w:p>
      <w:pPr>
        <w:pStyle w:val="Normal"/>
        <w:spacing w:lineRule="auto" w:line="480" w:before="0" w:after="0"/>
        <w:jc w:val="both"/>
        <w:rPr>
          <w:b/>
          <w:b/>
        </w:rPr>
      </w:pPr>
      <w:r>
        <w:rPr>
          <w:b/>
        </w:rPr>
      </w:r>
    </w:p>
    <w:p>
      <w:pPr>
        <w:pStyle w:val="Normal"/>
        <w:spacing w:lineRule="auto" w:line="480" w:before="0" w:after="0"/>
        <w:jc w:val="both"/>
        <w:rPr>
          <w:color w:val="000000"/>
        </w:rPr>
      </w:pPr>
      <w:r>
        <w:rPr>
          <w:b/>
          <w:color w:val="000000"/>
        </w:rPr>
        <w:t xml:space="preserve">Supplementary Figure 3. Graph structure of 5S rDNA sequence reads obtained by analysis of individual datasets </w:t>
      </w:r>
      <w:r>
        <w:rPr>
          <w:b/>
        </w:rPr>
        <w:t>with</w:t>
      </w:r>
      <w:r>
        <w:rPr>
          <w:b/>
          <w:color w:val="000000"/>
        </w:rPr>
        <w:t xml:space="preserve"> RepeatExplorer2.</w:t>
      </w:r>
      <w:r>
        <w:rPr>
          <w:color w:val="000000"/>
        </w:rPr>
        <w:t xml:space="preserve"> Graph layout of the 5S rDNA sequence reads of (A) </w:t>
      </w:r>
      <w:r>
        <w:rPr>
          <w:i/>
          <w:color w:val="000000"/>
        </w:rPr>
        <w:t>P. obscura</w:t>
      </w:r>
      <w:r>
        <w:rPr>
          <w:color w:val="000000"/>
        </w:rPr>
        <w:t xml:space="preserve">, </w:t>
      </w:r>
      <w:r>
        <w:rPr/>
        <w:t>B473.1</w:t>
      </w:r>
      <w:r>
        <w:rPr>
          <w:color w:val="000000"/>
        </w:rPr>
        <w:t xml:space="preserve">; (B) </w:t>
      </w:r>
      <w:r>
        <w:rPr>
          <w:i/>
          <w:color w:val="000000"/>
        </w:rPr>
        <w:t>P. officinalis</w:t>
      </w:r>
      <w:r>
        <w:rPr>
          <w:color w:val="000000"/>
        </w:rPr>
        <w:t xml:space="preserve">, </w:t>
      </w:r>
      <w:r>
        <w:rPr/>
        <w:t>B470.3</w:t>
      </w:r>
      <w:r>
        <w:rPr>
          <w:color w:val="000000"/>
        </w:rPr>
        <w:t xml:space="preserve">; (C) </w:t>
      </w:r>
      <w:r>
        <w:rPr>
          <w:i/>
          <w:color w:val="000000"/>
        </w:rPr>
        <w:t>P. obscura</w:t>
      </w:r>
      <w:r>
        <w:rPr>
          <w:color w:val="000000"/>
        </w:rPr>
        <w:t xml:space="preserve"> × </w:t>
      </w:r>
      <w:r>
        <w:rPr>
          <w:i/>
          <w:color w:val="000000"/>
        </w:rPr>
        <w:t>P. officinalis</w:t>
      </w:r>
      <w:r>
        <w:rPr>
          <w:color w:val="000000"/>
        </w:rPr>
        <w:t xml:space="preserve"> natural hybrid, B481.1; (D) ornamental </w:t>
      </w:r>
      <w:r>
        <w:rPr>
          <w:i/>
          <w:color w:val="000000"/>
        </w:rPr>
        <w:t>P. saccharata</w:t>
      </w:r>
      <w:r>
        <w:rPr>
          <w:color w:val="000000"/>
        </w:rPr>
        <w:t>-lik</w:t>
      </w:r>
      <w:r>
        <w:rPr/>
        <w:t xml:space="preserve">e </w:t>
      </w:r>
      <w:r>
        <w:rPr>
          <w:color w:val="000000"/>
        </w:rPr>
        <w:t>plant</w:t>
      </w:r>
      <w:r>
        <w:rPr/>
        <w:t>s</w:t>
      </w:r>
      <w:r>
        <w:rPr>
          <w:color w:val="000000"/>
        </w:rPr>
        <w:t xml:space="preserve">, B15.1, (E) B465.1, and (F) B472.1. Single reads are represented by vertices (nodes) and the sequence overlaps by edges. The 5S coding gene on the graph layout is highlighted in yellow, and intergenic spacers are highlighted as </w:t>
      </w:r>
      <w:r>
        <w:rPr/>
        <w:t>gray</w:t>
      </w:r>
      <w:r>
        <w:rPr>
          <w:color w:val="000000"/>
        </w:rPr>
        <w:t xml:space="preserve"> vertices.</w:t>
      </w:r>
    </w:p>
    <w:p>
      <w:pPr>
        <w:pStyle w:val="Normal"/>
        <w:spacing w:lineRule="auto" w:line="480" w:before="0" w:after="0"/>
        <w:jc w:val="both"/>
        <w:rPr>
          <w:b/>
          <w:b/>
        </w:rPr>
      </w:pPr>
      <w:r>
        <w:rPr>
          <w:b/>
        </w:rPr>
      </w:r>
    </w:p>
    <w:p>
      <w:pPr>
        <w:pStyle w:val="Normal"/>
        <w:spacing w:lineRule="auto" w:line="480" w:before="0" w:after="0"/>
        <w:jc w:val="both"/>
        <w:rPr>
          <w:color w:val="00000A"/>
        </w:rPr>
      </w:pPr>
      <w:r>
        <w:rPr>
          <w:b/>
        </w:rPr>
        <w:t xml:space="preserve">Supplementary Figure 4. Chromosomal localization of newly identified satDNAs and rDNA sequences in </w:t>
      </w:r>
      <w:r>
        <w:rPr>
          <w:b/>
          <w:i/>
        </w:rPr>
        <w:t>Pulmonaria officinalis</w:t>
      </w:r>
      <w:r>
        <w:rPr>
          <w:b/>
        </w:rPr>
        <w:t>.</w:t>
      </w:r>
      <w:r>
        <w:rPr/>
        <w:t xml:space="preserve"> (A) Idiogram of </w:t>
      </w:r>
      <w:r>
        <w:rPr>
          <w:i/>
        </w:rPr>
        <w:t>P. officinalis</w:t>
      </w:r>
      <w:r>
        <w:rPr/>
        <w:t xml:space="preserve"> (B100.3); FISH with probes for: (B) 45S rDNA (yellow), PulTR03_308 (red), and 5S rDNA (green): red arrows point at signals of PulTR03_308; (C) 45S rDNA (yellow), PulTR04_420 (red), and PulTR01_29 (green): red arrows indicate signals of PulTR04_420; and (D) 45S rDNA (yellow), PulTR01_29 (red), and 5S rDNA (green). The white arrows indicate the signals of 5S rDNA. Chromosomes were counterstained with DAPI (blue). Bars = 5 </w:t>
      </w:r>
      <w:r>
        <w:rPr>
          <w:color w:val="00000A"/>
        </w:rPr>
        <w:t>µm.</w:t>
      </w:r>
    </w:p>
    <w:sectPr>
      <w:footerReference w:type="default" r:id="rId2"/>
      <w:type w:val="nextPage"/>
      <w:pgSz w:w="11906" w:h="16838"/>
      <w:pgMar w:left="1417" w:right="1417" w:gutter="0" w:header="0" w:top="1417" w:footer="0" w:bottom="1417"/>
      <w:lnNumType w:countBy="1" w:restart="continuous" w:distance="28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Segoe UI">
    <w:charset w:val="01"/>
    <w:family w:val="swiss"/>
    <w:pitch w:val="default"/>
  </w:font>
  <w:font w:name="Liberation Sans">
    <w:altName w:val="Arial"/>
    <w:charset w:val="01"/>
    <w:family w:val="swiss"/>
    <w:pitch w:val="default"/>
  </w:font>
  <w:font w:name="Times New Roman">
    <w:charset w:val="01"/>
    <w:family w:val="swiss"/>
    <w:pitch w:val="default"/>
  </w:font>
  <w:font w:name="Georgia">
    <w:charset w:val="01"/>
    <w:family w:val="swiss"/>
    <w:pitch w:val="default"/>
  </w:font>
  <w:font w:name="Liberation Mono">
    <w:altName w:val="Courier New"/>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pageBreakBefore w:val="false"/>
      <w:widowControl/>
      <w:shd w:val="clear" w:fill="auto"/>
      <w:tabs>
        <w:tab w:val="clear" w:pos="720"/>
        <w:tab w:val="center" w:pos="4536" w:leader="none"/>
        <w:tab w:val="right" w:pos="9072" w:leader="none"/>
      </w:tabs>
      <w:spacing w:lineRule="auto" w:line="240" w:before="0" w:after="0"/>
      <w:ind w:left="0" w:right="0" w:hanging="0"/>
      <w:jc w:val="center"/>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2</w:t>
    </w:r>
    <w:r>
      <w:rPr/>
      <w:fldChar w:fldCharType="end"/>
    </w:r>
  </w:p>
  <w:p>
    <w:pPr>
      <w:pStyle w:val="Normal"/>
      <w:keepNext w:val="false"/>
      <w:keepLines w:val="false"/>
      <w:pageBreakBefore w:val="false"/>
      <w:widowControl/>
      <w:shd w:val="clear" w:fill="auto"/>
      <w:tabs>
        <w:tab w:val="clear" w:pos="720"/>
        <w:tab w:val="center" w:pos="4536" w:leader="none"/>
        <w:tab w:val="right" w:pos="9072"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default="1">
    <w:name w:val="Normal"/>
    <w:qFormat/>
    <w:pPr>
      <w:widowControl/>
      <w:suppressAutoHyphens w:val="true"/>
      <w:overflowPunct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Heading1">
    <w:name w:val="Heading 1"/>
    <w:basedOn w:val="LOnormal"/>
    <w:next w:val="LOnormal"/>
    <w:uiPriority w:val="9"/>
    <w:qFormat/>
    <w:pPr>
      <w:keepNext w:val="true"/>
      <w:keepLines/>
      <w:spacing w:lineRule="auto" w:line="240" w:before="480" w:after="120"/>
      <w:outlineLvl w:val="0"/>
    </w:pPr>
    <w:rPr>
      <w:b/>
      <w:sz w:val="48"/>
      <w:szCs w:val="48"/>
    </w:rPr>
  </w:style>
  <w:style w:type="paragraph" w:styleId="Heading2">
    <w:name w:val="Heading 2"/>
    <w:basedOn w:val="LOnormal"/>
    <w:next w:val="LOnormal"/>
    <w:uiPriority w:val="9"/>
    <w:semiHidden/>
    <w:unhideWhenUsed/>
    <w:qFormat/>
    <w:pPr>
      <w:keepNext w:val="true"/>
      <w:keepLines/>
      <w:spacing w:lineRule="auto" w:line="240" w:before="360" w:after="80"/>
      <w:outlineLvl w:val="1"/>
    </w:pPr>
    <w:rPr>
      <w:b/>
      <w:sz w:val="36"/>
      <w:szCs w:val="36"/>
    </w:rPr>
  </w:style>
  <w:style w:type="paragraph" w:styleId="Heading3">
    <w:name w:val="Heading 3"/>
    <w:basedOn w:val="LOnormal"/>
    <w:next w:val="LOnormal"/>
    <w:uiPriority w:val="9"/>
    <w:semiHidden/>
    <w:unhideWhenUsed/>
    <w:qFormat/>
    <w:pPr>
      <w:keepNext w:val="true"/>
      <w:keepLines/>
      <w:spacing w:lineRule="auto" w:line="240" w:before="280" w:after="80"/>
      <w:outlineLvl w:val="2"/>
    </w:pPr>
    <w:rPr>
      <w:b/>
      <w:sz w:val="28"/>
      <w:szCs w:val="28"/>
    </w:rPr>
  </w:style>
  <w:style w:type="paragraph" w:styleId="Heading4">
    <w:name w:val="Heading 4"/>
    <w:basedOn w:val="LOnormal"/>
    <w:next w:val="LOnormal"/>
    <w:uiPriority w:val="9"/>
    <w:semiHidden/>
    <w:unhideWhenUsed/>
    <w:qFormat/>
    <w:pPr>
      <w:keepNext w:val="true"/>
      <w:keepLines/>
      <w:spacing w:lineRule="auto" w:line="240" w:before="240" w:after="40"/>
      <w:outlineLvl w:val="3"/>
    </w:pPr>
    <w:rPr>
      <w:b/>
      <w:sz w:val="24"/>
      <w:szCs w:val="24"/>
    </w:rPr>
  </w:style>
  <w:style w:type="paragraph" w:styleId="Heading5">
    <w:name w:val="Heading 5"/>
    <w:basedOn w:val="LOnormal"/>
    <w:next w:val="LOnormal"/>
    <w:uiPriority w:val="9"/>
    <w:semiHidden/>
    <w:unhideWhenUsed/>
    <w:qFormat/>
    <w:pPr>
      <w:keepNext w:val="true"/>
      <w:keepLines/>
      <w:spacing w:lineRule="auto" w:line="240" w:before="220" w:after="40"/>
      <w:outlineLvl w:val="4"/>
    </w:pPr>
    <w:rPr>
      <w:b/>
    </w:rPr>
  </w:style>
  <w:style w:type="paragraph" w:styleId="Heading6">
    <w:name w:val="Heading 6"/>
    <w:basedOn w:val="LOnormal"/>
    <w:next w:val="LOnormal"/>
    <w:uiPriority w:val="9"/>
    <w:semiHidden/>
    <w:unhideWhenUsed/>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TextkomenteChar" w:customStyle="1">
    <w:name w:val="Text komentáře Char"/>
    <w:basedOn w:val="DefaultParagraphFont"/>
    <w:link w:val="Annotationtext"/>
    <w:qFormat/>
    <w:rPr>
      <w:sz w:val="20"/>
      <w:szCs w:val="20"/>
    </w:rPr>
  </w:style>
  <w:style w:type="character" w:styleId="PedmtkomenteChar" w:customStyle="1">
    <w:name w:val="Předmět komentáře Char"/>
    <w:basedOn w:val="TextkomenteChar"/>
    <w:link w:val="Annotationsubject"/>
    <w:qFormat/>
    <w:rPr>
      <w:b/>
      <w:bCs/>
      <w:sz w:val="20"/>
      <w:szCs w:val="20"/>
    </w:rPr>
  </w:style>
  <w:style w:type="character" w:styleId="TextbublinyChar" w:customStyle="1">
    <w:name w:val="Text bubliny Char"/>
    <w:basedOn w:val="DefaultParagraphFont"/>
    <w:link w:val="BalloonText"/>
    <w:qFormat/>
    <w:rPr>
      <w:rFonts w:ascii="Segoe UI" w:hAnsi="Segoe UI" w:cs="Segoe UI"/>
      <w:sz w:val="18"/>
      <w:szCs w:val="18"/>
    </w:rPr>
  </w:style>
  <w:style w:type="character" w:styleId="UnresolvedMention">
    <w:name w:val="Unresolved Mention"/>
    <w:basedOn w:val="DefaultParagraphFont"/>
    <w:qFormat/>
    <w:rPr>
      <w:color w:val="605E5C"/>
      <w:shd w:fill="E1DFDD" w:val="clear"/>
    </w:rPr>
  </w:style>
  <w:style w:type="character" w:styleId="StrongEmphasis" w:customStyle="1">
    <w:name w:val="Strong Emphasis"/>
    <w:qFormat/>
    <w:rPr>
      <w:b/>
      <w:bCs/>
    </w:rPr>
  </w:style>
  <w:style w:type="character" w:styleId="Linenumber">
    <w:name w:val="line number"/>
    <w:basedOn w:val="DefaultParagraphFont"/>
    <w:uiPriority w:val="99"/>
    <w:semiHidden/>
    <w:unhideWhenUsed/>
    <w:qFormat/>
    <w:rsid w:val="0017163a"/>
    <w:rPr/>
  </w:style>
  <w:style w:type="character" w:styleId="ZhlavChar" w:customStyle="1">
    <w:name w:val="Záhlaví Char"/>
    <w:basedOn w:val="DefaultParagraphFont"/>
    <w:link w:val="Header"/>
    <w:uiPriority w:val="99"/>
    <w:qFormat/>
    <w:rsid w:val="0017163a"/>
    <w:rPr>
      <w:rFonts w:cs="Mangal"/>
      <w:szCs w:val="20"/>
      <w:lang w:eastAsia="zh-CN" w:bidi="hi-IN"/>
    </w:rPr>
  </w:style>
  <w:style w:type="character" w:styleId="ZpatChar" w:customStyle="1">
    <w:name w:val="Zápatí Char"/>
    <w:basedOn w:val="DefaultParagraphFont"/>
    <w:link w:val="Footer"/>
    <w:uiPriority w:val="99"/>
    <w:qFormat/>
    <w:rsid w:val="0017163a"/>
    <w:rPr>
      <w:rFonts w:cs="Mangal"/>
      <w:szCs w:val="20"/>
      <w:lang w:eastAsia="zh-CN" w:bidi="hi-IN"/>
    </w:rPr>
  </w:style>
  <w:style w:type="character" w:styleId="Elementcitation" w:customStyle="1">
    <w:name w:val="element-citation"/>
    <w:basedOn w:val="DefaultParagraphFont"/>
    <w:qFormat/>
    <w:rsid w:val="00555fab"/>
    <w:rPr/>
  </w:style>
  <w:style w:type="character" w:styleId="Emphasis">
    <w:name w:val="Emphasis"/>
    <w:basedOn w:val="DefaultParagraphFont"/>
    <w:uiPriority w:val="20"/>
    <w:qFormat/>
    <w:rsid w:val="00555fab"/>
    <w:rPr>
      <w:i/>
      <w:iCs/>
    </w:rPr>
  </w:style>
  <w:style w:type="character" w:styleId="Refjournal" w:customStyle="1">
    <w:name w:val="ref-journal"/>
    <w:basedOn w:val="DefaultParagraphFont"/>
    <w:qFormat/>
    <w:rsid w:val="00555fab"/>
    <w:rPr/>
  </w:style>
  <w:style w:type="character" w:styleId="Refvol" w:customStyle="1">
    <w:name w:val="ref-vol"/>
    <w:basedOn w:val="DefaultParagraphFont"/>
    <w:qFormat/>
    <w:rsid w:val="00555fab"/>
    <w:rPr/>
  </w:style>
  <w:style w:type="character" w:styleId="LineNumbering">
    <w:name w:val="Line Numbering"/>
    <w:rPr/>
  </w:style>
  <w:style w:type="paragraph" w:styleId="Heading" w:customStyle="1">
    <w:name w:val="Heading"/>
    <w:basedOn w:val="LOnormal1"/>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LOnormal1"/>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LOnormal1"/>
    <w:qFormat/>
    <w:pPr>
      <w:suppressLineNumbers/>
    </w:pPr>
    <w:rPr>
      <w:rFonts w:cs="Lohit Devanagari"/>
    </w:rPr>
  </w:style>
  <w:style w:type="paragraph" w:styleId="LOnormal3" w:default="1">
    <w:name w:val="LO-normal3"/>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Title">
    <w:name w:val="Title"/>
    <w:basedOn w:val="LOnormal"/>
    <w:next w:val="LOnormal"/>
    <w:uiPriority w:val="10"/>
    <w:qFormat/>
    <w:pPr>
      <w:keepNext w:val="true"/>
      <w:keepLines/>
      <w:spacing w:lineRule="auto" w:line="240" w:before="480" w:after="120"/>
    </w:pPr>
    <w:rPr>
      <w:b/>
      <w:sz w:val="72"/>
      <w:szCs w:val="72"/>
    </w:rPr>
  </w:style>
  <w:style w:type="paragraph" w:styleId="Caption1">
    <w:name w:val="caption"/>
    <w:basedOn w:val="LOnormal1"/>
    <w:qFormat/>
    <w:pPr>
      <w:suppressLineNumbers/>
      <w:spacing w:before="120" w:after="120"/>
    </w:pPr>
    <w:rPr>
      <w:rFonts w:cs="Lohit Devanagari"/>
      <w:i/>
      <w:iCs/>
      <w:sz w:val="24"/>
      <w:szCs w:val="24"/>
    </w:rPr>
  </w:style>
  <w:style w:type="paragraph" w:styleId="LOnormal1" w:customStyle="1">
    <w:name w:val="LO-normal1"/>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LOnormal" w:customStyle="1">
    <w:name w:val="LO-normal"/>
    <w:qFormat/>
    <w:pPr>
      <w:widowControl/>
      <w:suppressAutoHyphens w:val="true"/>
      <w:overflowPunct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NormalWeb">
    <w:name w:val="Normal (Web)"/>
    <w:basedOn w:val="LOnormal1"/>
    <w:qFormat/>
    <w:pPr>
      <w:spacing w:lineRule="auto" w:line="240" w:before="280" w:after="280"/>
    </w:pPr>
    <w:rPr>
      <w:rFonts w:ascii="Times New Roman" w:hAnsi="Times New Roman" w:eastAsia="Times New Roman" w:cs="Times New Roman"/>
      <w:sz w:val="24"/>
      <w:szCs w:val="24"/>
      <w:lang w:eastAsia="cs-CZ"/>
    </w:rPr>
  </w:style>
  <w:style w:type="paragraph" w:styleId="Annotationtext">
    <w:name w:val="annotation text"/>
    <w:basedOn w:val="LOnormal1"/>
    <w:link w:val="TextkomenteChar"/>
    <w:qFormat/>
    <w:pPr>
      <w:spacing w:lineRule="auto" w:line="240"/>
    </w:pPr>
    <w:rPr>
      <w:sz w:val="20"/>
      <w:szCs w:val="20"/>
    </w:rPr>
  </w:style>
  <w:style w:type="paragraph" w:styleId="Annotationsubject">
    <w:name w:val="annotation subject"/>
    <w:basedOn w:val="Annotationtext"/>
    <w:next w:val="Annotationtext"/>
    <w:link w:val="PedmtkomenteChar"/>
    <w:qFormat/>
    <w:pPr/>
    <w:rPr>
      <w:b/>
      <w:bCs/>
    </w:rPr>
  </w:style>
  <w:style w:type="paragraph" w:styleId="BalloonText">
    <w:name w:val="Balloon Text"/>
    <w:basedOn w:val="LOnormal1"/>
    <w:link w:val="TextbublinyChar"/>
    <w:qFormat/>
    <w:pPr>
      <w:spacing w:lineRule="auto" w:line="240" w:before="0" w:after="0"/>
    </w:pPr>
    <w:rPr>
      <w:rFonts w:ascii="Segoe UI" w:hAnsi="Segoe UI" w:cs="Segoe UI"/>
      <w:sz w:val="18"/>
      <w:szCs w:val="18"/>
    </w:rPr>
  </w:style>
  <w:style w:type="paragraph" w:styleId="Subtitle">
    <w:name w:val="Subtitle"/>
    <w:basedOn w:val="LOnormal3"/>
    <w:next w:val="LOnormal3"/>
    <w:uiPriority w:val="11"/>
    <w:qFormat/>
    <w:pPr>
      <w:keepNext w:val="true"/>
      <w:keepLines/>
      <w:spacing w:lineRule="auto" w:line="240" w:before="360" w:after="80"/>
    </w:pPr>
    <w:rPr>
      <w:rFonts w:ascii="Georgia" w:hAnsi="Georgia" w:eastAsia="Georgia" w:cs="Georgia"/>
      <w:i/>
      <w:color w:val="666666"/>
      <w:sz w:val="48"/>
      <w:szCs w:val="48"/>
    </w:rPr>
  </w:style>
  <w:style w:type="paragraph" w:styleId="TableContents" w:customStyle="1">
    <w:name w:val="Table Contents"/>
    <w:basedOn w:val="LOnormal1"/>
    <w:qFormat/>
    <w:pPr>
      <w:widowControl w:val="false"/>
      <w:suppressLineNumbers/>
    </w:pPr>
    <w:rPr/>
  </w:style>
  <w:style w:type="paragraph" w:styleId="PreformattedText" w:customStyle="1">
    <w:name w:val="Preformatted Text"/>
    <w:basedOn w:val="Normal"/>
    <w:qFormat/>
    <w:pPr>
      <w:spacing w:before="0" w:after="0"/>
    </w:pPr>
    <w:rPr>
      <w:rFonts w:ascii="Liberation Mono" w:hAnsi="Liberation Mono" w:eastAsia="Noto Sans Mono CJK SC" w:cs="Liberation Mono"/>
      <w:sz w:val="20"/>
      <w:szCs w:val="20"/>
    </w:rPr>
  </w:style>
  <w:style w:type="paragraph" w:styleId="HeaderandFooter">
    <w:name w:val="Header and Footer"/>
    <w:basedOn w:val="Normal"/>
    <w:qFormat/>
    <w:pPr/>
    <w:rPr/>
  </w:style>
  <w:style w:type="paragraph" w:styleId="Header">
    <w:name w:val="Header"/>
    <w:basedOn w:val="Normal"/>
    <w:link w:val="ZhlavChar"/>
    <w:uiPriority w:val="99"/>
    <w:unhideWhenUsed/>
    <w:rsid w:val="0017163a"/>
    <w:pPr>
      <w:suppressLineNumbers/>
      <w:tabs>
        <w:tab w:val="clear" w:pos="720"/>
        <w:tab w:val="center" w:pos="4536" w:leader="none"/>
        <w:tab w:val="right" w:pos="9072" w:leader="none"/>
      </w:tabs>
      <w:spacing w:lineRule="auto" w:line="240" w:before="0" w:after="0"/>
    </w:pPr>
    <w:rPr>
      <w:rFonts w:cs="Mangal"/>
      <w:szCs w:val="20"/>
    </w:rPr>
  </w:style>
  <w:style w:type="paragraph" w:styleId="Footer">
    <w:name w:val="Footer"/>
    <w:basedOn w:val="Normal"/>
    <w:link w:val="ZpatChar"/>
    <w:uiPriority w:val="99"/>
    <w:unhideWhenUsed/>
    <w:rsid w:val="0017163a"/>
    <w:pPr>
      <w:suppressLineNumbers/>
      <w:tabs>
        <w:tab w:val="clear" w:pos="720"/>
        <w:tab w:val="center" w:pos="4536" w:leader="none"/>
        <w:tab w:val="right" w:pos="9072" w:leader="none"/>
      </w:tabs>
      <w:spacing w:lineRule="auto" w:line="240" w:before="0" w:after="0"/>
    </w:pPr>
    <w:rPr>
      <w:rFonts w:cs="Mangal"/>
      <w:szCs w:val="20"/>
    </w:rPr>
  </w:style>
  <w:style w:type="numbering" w:styleId="NoList" w:default="1">
    <w:name w:val="No List"/>
    <w:uiPriority w:val="99"/>
    <w:semiHidden/>
    <w:unhideWhenUsed/>
    <w:qFormat/>
  </w:style>
  <w:style w:type="table" w:default="1" w:styleId="TableNormal">
    <w:name w:val="Table Normal"/>
  </w:style>
  <w:style w:type="table" w:default="1" w:styleId="Normlntabulk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L+oZFRTFzKP+mScgmqohAztJeeQ==">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728</TotalTime>
  <Application>LibreOffice/7.3.7.2$Linux_X86_64 LibreOffice_project/30$Build-2</Application>
  <AppVersion>15.0000</AppVersion>
  <Pages>2</Pages>
  <Words>345</Words>
  <Characters>1952</Characters>
  <CharactersWithSpaces>2287</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2024-01-03T08:20:00Z</dcterms:created>
  <dc:creator>Kobrlova Lucie</dc:creator>
  <dc:description/>
  <dc:language>cs-CZ</dc:language>
  <cp:lastModifiedBy/>
  <dcterms:modified xsi:type="dcterms:W3CDTF">2024-06-13T12:23:58Z</dcterms:modified>
  <cp:revision>111</cp:revision>
  <dc:subject/>
  <dc:title/>
</cp:coreProperties>
</file>

<file path=docProps/custom.xml><?xml version="1.0" encoding="utf-8"?>
<Properties xmlns="http://schemas.openxmlformats.org/officeDocument/2006/custom-properties" xmlns:vt="http://schemas.openxmlformats.org/officeDocument/2006/docPropsVTypes"/>
</file>