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822C85" w14:textId="77777777" w:rsidR="009A6AE6" w:rsidRPr="00092FBF" w:rsidRDefault="009A6AE6" w:rsidP="009A6AE6">
      <w:pPr>
        <w:pStyle w:val="MDPI12title"/>
        <w:spacing w:after="0" w:line="360" w:lineRule="auto"/>
        <w:jc w:val="both"/>
        <w:rPr>
          <w:rFonts w:ascii="Times New Roman" w:eastAsiaTheme="minorEastAsia" w:hAnsi="Times New Roman"/>
          <w:sz w:val="28"/>
          <w:szCs w:val="16"/>
          <w:lang w:eastAsia="zh-CN"/>
        </w:rPr>
      </w:pPr>
      <w:bookmarkStart w:id="0" w:name="_Hlk171713478"/>
      <w:r w:rsidRPr="00092FBF">
        <w:rPr>
          <w:rFonts w:ascii="Times New Roman" w:hAnsi="Times New Roman"/>
          <w:sz w:val="28"/>
          <w:szCs w:val="16"/>
        </w:rPr>
        <w:t xml:space="preserve">Spraying methyl jasmonate before harvesting can significantly increase the content of icariin in an important leaf medicinal herb, </w:t>
      </w:r>
      <w:r w:rsidRPr="00092FBF">
        <w:rPr>
          <w:rFonts w:ascii="Times New Roman" w:hAnsi="Times New Roman"/>
          <w:i/>
          <w:iCs/>
          <w:sz w:val="28"/>
          <w:szCs w:val="16"/>
        </w:rPr>
        <w:t>Epimedium sagittatum</w:t>
      </w:r>
      <w:r w:rsidRPr="00092FBF">
        <w:rPr>
          <w:rFonts w:ascii="Times New Roman" w:hAnsi="Times New Roman"/>
          <w:sz w:val="28"/>
          <w:szCs w:val="16"/>
        </w:rPr>
        <w:t>, by activating the expression of genes involved in flavonoid synthesis pathways</w:t>
      </w:r>
      <w:bookmarkEnd w:id="0"/>
    </w:p>
    <w:p w14:paraId="1496FD2D" w14:textId="77777777" w:rsidR="00FF0608" w:rsidRDefault="00FF0608"/>
    <w:p w14:paraId="24679991" w14:textId="3733213A" w:rsidR="009A6AE6" w:rsidRPr="009A6AE6" w:rsidRDefault="009A6AE6" w:rsidP="009A6AE6">
      <w:pPr>
        <w:spacing w:line="360" w:lineRule="auto"/>
        <w:rPr>
          <w:b/>
          <w:bCs/>
          <w:sz w:val="28"/>
          <w:szCs w:val="24"/>
        </w:rPr>
      </w:pPr>
      <w:r w:rsidRPr="009A6AE6">
        <w:rPr>
          <w:b/>
          <w:bCs/>
          <w:sz w:val="28"/>
          <w:szCs w:val="24"/>
        </w:rPr>
        <w:t xml:space="preserve">Supplementary </w:t>
      </w:r>
      <w:r w:rsidR="00D259CE">
        <w:rPr>
          <w:rFonts w:hint="eastAsia"/>
          <w:b/>
          <w:bCs/>
          <w:sz w:val="28"/>
          <w:szCs w:val="24"/>
        </w:rPr>
        <w:t>files</w:t>
      </w:r>
      <w:r w:rsidRPr="009A6AE6">
        <w:rPr>
          <w:b/>
          <w:bCs/>
          <w:sz w:val="28"/>
          <w:szCs w:val="24"/>
        </w:rPr>
        <w:t xml:space="preserve"> </w:t>
      </w:r>
      <w:r w:rsidR="00D259CE">
        <w:rPr>
          <w:rFonts w:hint="eastAsia"/>
          <w:b/>
          <w:bCs/>
          <w:sz w:val="28"/>
          <w:szCs w:val="24"/>
        </w:rPr>
        <w:t>l</w:t>
      </w:r>
      <w:r w:rsidRPr="009A6AE6">
        <w:rPr>
          <w:b/>
          <w:bCs/>
          <w:sz w:val="28"/>
          <w:szCs w:val="24"/>
        </w:rPr>
        <w:t>ist</w:t>
      </w:r>
      <w:r>
        <w:rPr>
          <w:rFonts w:hint="eastAsia"/>
          <w:b/>
          <w:bCs/>
          <w:sz w:val="28"/>
          <w:szCs w:val="24"/>
        </w:rPr>
        <w:t>:</w:t>
      </w:r>
    </w:p>
    <w:p w14:paraId="4FB1DE94" w14:textId="7D879BCA" w:rsidR="009A6AE6" w:rsidRDefault="009A6AE6" w:rsidP="009A6AE6">
      <w:pPr>
        <w:spacing w:line="360" w:lineRule="auto"/>
      </w:pPr>
      <w:r w:rsidRPr="009A6AE6">
        <w:t>Figure S1. Chromatogram of Epimedium sagittatum leaf sample (A) and mixed standards (B) by HPLC</w:t>
      </w:r>
      <w:r>
        <w:rPr>
          <w:rFonts w:hint="eastAsia"/>
        </w:rPr>
        <w:t>.</w:t>
      </w:r>
    </w:p>
    <w:p w14:paraId="38124F77" w14:textId="5DAE14D4" w:rsidR="009A6AE6" w:rsidRDefault="009A6AE6" w:rsidP="009A6AE6">
      <w:pPr>
        <w:spacing w:line="360" w:lineRule="auto"/>
      </w:pPr>
      <w:r w:rsidRPr="009A6AE6">
        <w:t>Table S1. Overview of transcriptome sequencing quality control</w:t>
      </w:r>
      <w:r>
        <w:rPr>
          <w:rFonts w:hint="eastAsia"/>
        </w:rPr>
        <w:t>.</w:t>
      </w:r>
    </w:p>
    <w:p w14:paraId="1A064930" w14:textId="31A4A087" w:rsidR="009A6AE6" w:rsidRDefault="009A6AE6" w:rsidP="009A6AE6">
      <w:pPr>
        <w:spacing w:line="360" w:lineRule="auto"/>
      </w:pPr>
      <w:r w:rsidRPr="009A6AE6">
        <w:t>Table S2. Effective sequencing quantity of transcriptome sequencing</w:t>
      </w:r>
      <w:r>
        <w:rPr>
          <w:rFonts w:hint="eastAsia"/>
        </w:rPr>
        <w:t>.</w:t>
      </w:r>
    </w:p>
    <w:p w14:paraId="42A3BE40" w14:textId="2CA6B6D0" w:rsidR="009A6AE6" w:rsidRDefault="009A6AE6" w:rsidP="009A6AE6">
      <w:pPr>
        <w:spacing w:line="360" w:lineRule="auto"/>
      </w:pPr>
      <w:r w:rsidRPr="009A6AE6">
        <w:t>Table S3. Overview of eggNOG annotations for transcriptome data</w:t>
      </w:r>
      <w:r>
        <w:rPr>
          <w:rFonts w:hint="eastAsia"/>
        </w:rPr>
        <w:t>.</w:t>
      </w:r>
    </w:p>
    <w:p w14:paraId="6BAB8B2C" w14:textId="3101F719" w:rsidR="009A6AE6" w:rsidRDefault="009A6AE6" w:rsidP="009A6AE6">
      <w:pPr>
        <w:spacing w:line="360" w:lineRule="auto"/>
      </w:pPr>
      <w:r w:rsidRPr="009A6AE6">
        <w:t>Table S4. Overview of NR annotations for transcriptome data</w:t>
      </w:r>
      <w:r>
        <w:rPr>
          <w:rFonts w:hint="eastAsia"/>
        </w:rPr>
        <w:t>.</w:t>
      </w:r>
    </w:p>
    <w:p w14:paraId="1D31BBF8" w14:textId="0422B984" w:rsidR="009A6AE6" w:rsidRDefault="009A6AE6" w:rsidP="009A6AE6">
      <w:pPr>
        <w:spacing w:line="360" w:lineRule="auto"/>
      </w:pPr>
      <w:r w:rsidRPr="009A6AE6">
        <w:t>Table S5. Overview of GO annotations for transcriptome data</w:t>
      </w:r>
      <w:r>
        <w:rPr>
          <w:rFonts w:hint="eastAsia"/>
        </w:rPr>
        <w:t>.</w:t>
      </w:r>
    </w:p>
    <w:p w14:paraId="317FD813" w14:textId="0BB84FD2" w:rsidR="009A6AE6" w:rsidRDefault="009A6AE6" w:rsidP="009A6AE6">
      <w:pPr>
        <w:spacing w:line="360" w:lineRule="auto"/>
      </w:pPr>
      <w:r w:rsidRPr="009A6AE6">
        <w:t>Table S6. Overview of Pfam annotations for transcriptome data</w:t>
      </w:r>
      <w:r>
        <w:rPr>
          <w:rFonts w:hint="eastAsia"/>
        </w:rPr>
        <w:t>.</w:t>
      </w:r>
    </w:p>
    <w:p w14:paraId="414483FE" w14:textId="3324088A" w:rsidR="009A6AE6" w:rsidRDefault="009A6AE6" w:rsidP="009A6AE6">
      <w:pPr>
        <w:spacing w:line="360" w:lineRule="auto"/>
      </w:pPr>
      <w:r w:rsidRPr="009A6AE6">
        <w:t>Table S7. Overview of Swissprot annotations for transcriptome data</w:t>
      </w:r>
      <w:r>
        <w:rPr>
          <w:rFonts w:hint="eastAsia"/>
        </w:rPr>
        <w:t>.</w:t>
      </w:r>
    </w:p>
    <w:p w14:paraId="2A31EE68" w14:textId="614A11A8" w:rsidR="009A6AE6" w:rsidRDefault="009A6AE6" w:rsidP="009A6AE6">
      <w:pPr>
        <w:spacing w:line="360" w:lineRule="auto"/>
      </w:pPr>
      <w:r w:rsidRPr="009A6AE6">
        <w:t>Table S8. Overview of KEGG annotations for transcriptome data</w:t>
      </w:r>
      <w:r>
        <w:rPr>
          <w:rFonts w:hint="eastAsia"/>
        </w:rPr>
        <w:t>.</w:t>
      </w:r>
    </w:p>
    <w:p w14:paraId="61BE53D5" w14:textId="5E0671D6" w:rsidR="009A6AE6" w:rsidRDefault="009A6AE6" w:rsidP="009A6AE6">
      <w:pPr>
        <w:spacing w:line="360" w:lineRule="auto"/>
      </w:pPr>
      <w:r w:rsidRPr="009A6AE6">
        <w:t>Table S9. Gene function annotation summary</w:t>
      </w:r>
      <w:r>
        <w:rPr>
          <w:rFonts w:hint="eastAsia"/>
        </w:rPr>
        <w:t>.</w:t>
      </w:r>
    </w:p>
    <w:p w14:paraId="0A422D40" w14:textId="49CBF6F8" w:rsidR="009A6AE6" w:rsidRDefault="009A6AE6" w:rsidP="009A6AE6">
      <w:pPr>
        <w:spacing w:line="360" w:lineRule="auto"/>
      </w:pPr>
      <w:r w:rsidRPr="009A6AE6">
        <w:t>Table S10. KEGG pathway links</w:t>
      </w:r>
      <w:r>
        <w:rPr>
          <w:rFonts w:hint="eastAsia"/>
        </w:rPr>
        <w:t>.</w:t>
      </w:r>
    </w:p>
    <w:p w14:paraId="63A58024" w14:textId="39B8C4E3" w:rsidR="00BF6E2F" w:rsidRPr="009A6AE6" w:rsidRDefault="00BF6E2F" w:rsidP="009A6AE6">
      <w:pPr>
        <w:spacing w:line="360" w:lineRule="auto"/>
        <w:rPr>
          <w:rFonts w:hint="eastAsia"/>
        </w:rPr>
      </w:pPr>
      <w:r w:rsidRPr="00BF6E2F">
        <w:t>Table S11. Sequences of primer</w:t>
      </w:r>
      <w:r>
        <w:rPr>
          <w:rFonts w:hint="eastAsia"/>
        </w:rPr>
        <w:t>.</w:t>
      </w:r>
    </w:p>
    <w:sectPr w:rsidR="00BF6E2F" w:rsidRPr="009A6A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6F6100" w14:textId="77777777" w:rsidR="006D21D7" w:rsidRDefault="006D21D7" w:rsidP="009A6AE6">
      <w:r>
        <w:separator/>
      </w:r>
    </w:p>
  </w:endnote>
  <w:endnote w:type="continuationSeparator" w:id="0">
    <w:p w14:paraId="414F681C" w14:textId="77777777" w:rsidR="006D21D7" w:rsidRDefault="006D21D7" w:rsidP="009A6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BE7045" w14:textId="77777777" w:rsidR="006D21D7" w:rsidRDefault="006D21D7" w:rsidP="009A6AE6">
      <w:r>
        <w:separator/>
      </w:r>
    </w:p>
  </w:footnote>
  <w:footnote w:type="continuationSeparator" w:id="0">
    <w:p w14:paraId="60A6B6C9" w14:textId="77777777" w:rsidR="006D21D7" w:rsidRDefault="006D21D7" w:rsidP="009A6A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E3D"/>
    <w:rsid w:val="0003351E"/>
    <w:rsid w:val="000B1CEB"/>
    <w:rsid w:val="00616400"/>
    <w:rsid w:val="006D21D7"/>
    <w:rsid w:val="006E6F95"/>
    <w:rsid w:val="00760F8E"/>
    <w:rsid w:val="007A3E3D"/>
    <w:rsid w:val="007A79AE"/>
    <w:rsid w:val="00844B42"/>
    <w:rsid w:val="008E7ACE"/>
    <w:rsid w:val="009A6AE6"/>
    <w:rsid w:val="00BD6091"/>
    <w:rsid w:val="00BF6E2F"/>
    <w:rsid w:val="00D259CE"/>
    <w:rsid w:val="00D430EB"/>
    <w:rsid w:val="00DE600D"/>
    <w:rsid w:val="00F440CC"/>
    <w:rsid w:val="00FF0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ADEE12"/>
  <w14:defaultImageDpi w14:val="32767"/>
  <w15:chartTrackingRefBased/>
  <w15:docId w15:val="{8DBC796E-C1B3-4B9E-8BD1-1D2BB7C59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79AE"/>
    <w:pPr>
      <w:widowControl w:val="0"/>
      <w:jc w:val="both"/>
    </w:pPr>
    <w:rPr>
      <w:rFonts w:ascii="Times New Roman" w:eastAsia="宋体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6AE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A6AE6"/>
    <w:rPr>
      <w:rFonts w:ascii="Times New Roman" w:eastAsia="宋体" w:hAnsi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A6A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A6AE6"/>
    <w:rPr>
      <w:rFonts w:ascii="Times New Roman" w:eastAsia="宋体" w:hAnsi="Times New Roman"/>
      <w:sz w:val="18"/>
      <w:szCs w:val="18"/>
    </w:rPr>
  </w:style>
  <w:style w:type="paragraph" w:customStyle="1" w:styleId="MDPI12title">
    <w:name w:val="MDPI_1.2_title"/>
    <w:next w:val="a"/>
    <w:link w:val="MDPI12title0"/>
    <w:qFormat/>
    <w:rsid w:val="009A6AE6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kern w:val="0"/>
      <w:sz w:val="36"/>
      <w:szCs w:val="20"/>
      <w:lang w:eastAsia="de-DE" w:bidi="en-US"/>
    </w:rPr>
  </w:style>
  <w:style w:type="character" w:customStyle="1" w:styleId="MDPI12title0">
    <w:name w:val="MDPI_1.2_title 字符"/>
    <w:basedOn w:val="a0"/>
    <w:link w:val="MDPI12title"/>
    <w:rsid w:val="009A6AE6"/>
    <w:rPr>
      <w:rFonts w:ascii="Palatino Linotype" w:eastAsia="Times New Roman" w:hAnsi="Palatino Linotype" w:cs="Times New Roman"/>
      <w:b/>
      <w:snapToGrid w:val="0"/>
      <w:color w:val="000000"/>
      <w:kern w:val="0"/>
      <w:sz w:val="36"/>
      <w:szCs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145</Words>
  <Characters>832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 杨</dc:creator>
  <cp:keywords/>
  <dc:description/>
  <cp:lastModifiedBy>林 杨</cp:lastModifiedBy>
  <cp:revision>5</cp:revision>
  <dcterms:created xsi:type="dcterms:W3CDTF">2024-07-19T01:04:00Z</dcterms:created>
  <dcterms:modified xsi:type="dcterms:W3CDTF">2024-11-28T08:33:00Z</dcterms:modified>
</cp:coreProperties>
</file>