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1F9D81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Table.1  Quality control analysis of the transcriptome sequencing data</w:t>
      </w:r>
    </w:p>
    <w:tbl>
      <w:tblPr>
        <w:tblStyle w:val="3"/>
        <w:tblW w:w="10949" w:type="dxa"/>
        <w:tblInd w:w="-1168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843"/>
        <w:gridCol w:w="1843"/>
        <w:gridCol w:w="1826"/>
        <w:gridCol w:w="1135"/>
        <w:gridCol w:w="1182"/>
        <w:gridCol w:w="1702"/>
      </w:tblGrid>
      <w:tr w14:paraId="7197007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41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33FFB8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Sample</w:t>
            </w:r>
          </w:p>
        </w:tc>
        <w:tc>
          <w:tcPr>
            <w:tcW w:w="18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08003E4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Raw Reads</w:t>
            </w:r>
          </w:p>
        </w:tc>
        <w:tc>
          <w:tcPr>
            <w:tcW w:w="1843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DE9D17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Clean Reads</w:t>
            </w:r>
          </w:p>
        </w:tc>
        <w:tc>
          <w:tcPr>
            <w:tcW w:w="1826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8807E6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CleanBase(G)</w:t>
            </w:r>
          </w:p>
        </w:tc>
        <w:tc>
          <w:tcPr>
            <w:tcW w:w="113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B3C7F9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Q20</w:t>
            </w:r>
          </w:p>
          <w:p w14:paraId="2A39643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(%)</w:t>
            </w:r>
          </w:p>
        </w:tc>
        <w:tc>
          <w:tcPr>
            <w:tcW w:w="118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DDF0F2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Q30</w:t>
            </w:r>
          </w:p>
          <w:p w14:paraId="1396198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(%)</w:t>
            </w:r>
          </w:p>
        </w:tc>
        <w:tc>
          <w:tcPr>
            <w:tcW w:w="1702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F34253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GC Content</w:t>
            </w:r>
          </w:p>
          <w:p w14:paraId="6E71062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(%)</w:t>
            </w:r>
          </w:p>
        </w:tc>
      </w:tr>
      <w:tr w14:paraId="423F41D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141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281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WT-1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1DEA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44693474</w:t>
            </w:r>
          </w:p>
        </w:tc>
        <w:tc>
          <w:tcPr>
            <w:tcW w:w="1843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5E3C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43692158</w:t>
            </w:r>
          </w:p>
        </w:tc>
        <w:tc>
          <w:tcPr>
            <w:tcW w:w="1826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6AC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6.55</w:t>
            </w:r>
          </w:p>
        </w:tc>
        <w:tc>
          <w:tcPr>
            <w:tcW w:w="113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AB95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97.92</w:t>
            </w:r>
          </w:p>
        </w:tc>
        <w:tc>
          <w:tcPr>
            <w:tcW w:w="118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8123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93.65</w:t>
            </w:r>
          </w:p>
        </w:tc>
        <w:tc>
          <w:tcPr>
            <w:tcW w:w="1702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8000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43.25</w:t>
            </w:r>
          </w:p>
        </w:tc>
      </w:tr>
      <w:tr w14:paraId="0EDED7E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1081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8E6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46261626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7E4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45211214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E0B2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6.78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FA9C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97.81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9DAE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93.45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59B4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42.9</w:t>
            </w:r>
          </w:p>
        </w:tc>
      </w:tr>
      <w:tr w14:paraId="0B033C3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B055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EF30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45191280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069D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44062516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11BE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6.61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45C8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97.78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57DE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93.55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0F14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43.12</w:t>
            </w:r>
          </w:p>
        </w:tc>
      </w:tr>
      <w:tr w14:paraId="4834143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A737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8E1F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53220094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5CD7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51054758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C73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7.66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8174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98.47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6809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95.17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C77F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42.94</w:t>
            </w:r>
          </w:p>
        </w:tc>
      </w:tr>
      <w:tr w14:paraId="709B18C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4353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537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51619166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7FE7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49560628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07A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7.43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6621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18B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95.05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E8C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42.7</w:t>
            </w:r>
          </w:p>
        </w:tc>
      </w:tr>
      <w:tr w14:paraId="3DAD4D8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0657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WTD-3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F809A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50821986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311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48789592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7448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7.32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9D3C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98.39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83BC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94.92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7F0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42.85</w:t>
            </w:r>
          </w:p>
        </w:tc>
      </w:tr>
      <w:tr w14:paraId="43EC4A7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518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OED-1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2AF5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52061620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06E40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50223214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C67B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7.53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BC16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98.41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136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94.98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026D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42.94</w:t>
            </w:r>
          </w:p>
        </w:tc>
      </w:tr>
      <w:tr w14:paraId="1BE948E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E350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86BC1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50068282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CF45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48237884</w:t>
            </w:r>
          </w:p>
        </w:tc>
        <w:tc>
          <w:tcPr>
            <w:tcW w:w="1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05D94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7.24</w:t>
            </w: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E22E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98.43</w:t>
            </w: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797FF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95.03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62C2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42.92</w:t>
            </w:r>
          </w:p>
        </w:tc>
      </w:tr>
      <w:tr w14:paraId="06431C2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41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EC3E009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OED-3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44A388F2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53838522</w:t>
            </w:r>
          </w:p>
        </w:tc>
        <w:tc>
          <w:tcPr>
            <w:tcW w:w="1843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5595D703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51771368</w:t>
            </w:r>
          </w:p>
        </w:tc>
        <w:tc>
          <w:tcPr>
            <w:tcW w:w="1826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97CE27B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7.77</w:t>
            </w:r>
          </w:p>
        </w:tc>
        <w:tc>
          <w:tcPr>
            <w:tcW w:w="113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42E6B4E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98.42</w:t>
            </w:r>
          </w:p>
        </w:tc>
        <w:tc>
          <w:tcPr>
            <w:tcW w:w="118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217230F6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94.99</w:t>
            </w:r>
          </w:p>
        </w:tc>
        <w:tc>
          <w:tcPr>
            <w:tcW w:w="1702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BD08F7C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beforeAutospacing="0" w:after="0" w:afterAutospacing="0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43.09</w:t>
            </w:r>
          </w:p>
        </w:tc>
      </w:tr>
    </w:tbl>
    <w:p w14:paraId="16A7CCD0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2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kern w:val="2"/>
          <w:sz w:val="22"/>
          <w:szCs w:val="21"/>
          <w:lang w:val="en-US" w:eastAsia="zh-CN" w:bidi="ar"/>
        </w:rPr>
        <w:t>Note:Total Reads: total number of clean reads; Reads mapped: number of reads aligned to the reference genome; Unique mapped: number of reads of the reference genome on the unique alignment.</w:t>
      </w:r>
    </w:p>
    <w:p w14:paraId="40A989EB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kern w:val="2"/>
          <w:sz w:val="22"/>
          <w:szCs w:val="21"/>
          <w:lang w:val="en-US" w:eastAsia="zh-CN" w:bidi="ar"/>
        </w:rPr>
      </w:pPr>
    </w:p>
    <w:p w14:paraId="30752F07">
      <w:pPr>
        <w:keepNext w:val="0"/>
        <w:keepLines w:val="0"/>
        <w:widowControl w:val="0"/>
        <w:suppressLineNumbers w:val="0"/>
        <w:spacing w:before="0" w:beforeAutospacing="0" w:after="0" w:afterAutospacing="0" w:line="360" w:lineRule="auto"/>
        <w:ind w:left="0" w:right="0" w:firstLine="420" w:firstLineChars="200"/>
        <w:jc w:val="center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Table.2  Alignment of the transcriptome sequencing data with the reference genome</w:t>
      </w:r>
    </w:p>
    <w:tbl>
      <w:tblPr>
        <w:tblStyle w:val="3"/>
        <w:tblW w:w="8797" w:type="dxa"/>
        <w:tblInd w:w="0" w:type="dxa"/>
        <w:tblBorders>
          <w:top w:val="single" w:color="auto" w:sz="4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8"/>
        <w:gridCol w:w="1769"/>
        <w:gridCol w:w="2845"/>
        <w:gridCol w:w="2845"/>
      </w:tblGrid>
      <w:tr w14:paraId="68DE0498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atLeast"/>
        </w:trPr>
        <w:tc>
          <w:tcPr>
            <w:tcW w:w="1338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2CFA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Sample</w:t>
            </w:r>
          </w:p>
        </w:tc>
        <w:tc>
          <w:tcPr>
            <w:tcW w:w="1769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271E0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Total Reads</w:t>
            </w:r>
          </w:p>
        </w:tc>
        <w:tc>
          <w:tcPr>
            <w:tcW w:w="28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7F37C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Reads mapped</w:t>
            </w:r>
          </w:p>
        </w:tc>
        <w:tc>
          <w:tcPr>
            <w:tcW w:w="2845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C2D8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bCs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Cs/>
                <w:kern w:val="0"/>
                <w:sz w:val="21"/>
                <w:szCs w:val="21"/>
                <w:lang w:val="en-US" w:eastAsia="zh-CN" w:bidi="ar"/>
              </w:rPr>
              <w:t>Unique mapped</w:t>
            </w:r>
          </w:p>
        </w:tc>
      </w:tr>
      <w:tr w14:paraId="07685916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9" w:hRule="atLeast"/>
        </w:trPr>
        <w:tc>
          <w:tcPr>
            <w:tcW w:w="1338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9C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WT-1</w:t>
            </w:r>
          </w:p>
        </w:tc>
        <w:tc>
          <w:tcPr>
            <w:tcW w:w="1769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5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43692158</w:t>
            </w:r>
          </w:p>
        </w:tc>
        <w:tc>
          <w:tcPr>
            <w:tcW w:w="28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2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38829113(88.17%)</w:t>
            </w:r>
          </w:p>
        </w:tc>
        <w:tc>
          <w:tcPr>
            <w:tcW w:w="2845" w:type="dxa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91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37630529(86.13%)</w:t>
            </w:r>
          </w:p>
        </w:tc>
      </w:tr>
      <w:tr w14:paraId="72EE8CE4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FD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7F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45211214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EE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39689063(87.79%)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34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38471331(85.09%)</w:t>
            </w:r>
          </w:p>
        </w:tc>
      </w:tr>
      <w:tr w14:paraId="2B80A816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8F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WT-3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7D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44062515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6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38933179(88.36%)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F1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37666986(85.49%)</w:t>
            </w:r>
          </w:p>
        </w:tc>
      </w:tr>
      <w:tr w14:paraId="3645E540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4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FC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51054758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F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43878318(85.94%)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7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42340288(82.93%)</w:t>
            </w:r>
          </w:p>
        </w:tc>
      </w:tr>
      <w:tr w14:paraId="42CEE2DF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D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8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49560628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48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42135280(85.02%)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93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40693725(82.11%)</w:t>
            </w:r>
          </w:p>
        </w:tc>
      </w:tr>
      <w:tr w14:paraId="614554A6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7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WTD-3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D9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48789592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4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41849239(85.77%)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6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40401432(82.81%)</w:t>
            </w:r>
          </w:p>
        </w:tc>
      </w:tr>
      <w:tr w14:paraId="7EE039B6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81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OED-1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2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50223214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C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43076063(85.77%)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CA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41456948(82.55%)</w:t>
            </w:r>
          </w:p>
        </w:tc>
      </w:tr>
      <w:tr w14:paraId="41C81DB7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" w:hRule="atLeast"/>
        </w:trPr>
        <w:tc>
          <w:tcPr>
            <w:tcW w:w="13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A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OED-2</w:t>
            </w:r>
          </w:p>
        </w:tc>
        <w:tc>
          <w:tcPr>
            <w:tcW w:w="1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48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48237884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88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41446414(85.92%)</w:t>
            </w:r>
          </w:p>
        </w:tc>
        <w:tc>
          <w:tcPr>
            <w:tcW w:w="28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C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39864574(82.64%)</w:t>
            </w:r>
          </w:p>
        </w:tc>
      </w:tr>
      <w:tr w14:paraId="32C34337">
        <w:tblPrEx>
          <w:tblBorders>
            <w:top w:val="single" w:color="auto" w:sz="4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338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86B2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OED-3</w:t>
            </w:r>
          </w:p>
        </w:tc>
        <w:tc>
          <w:tcPr>
            <w:tcW w:w="1769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10848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51771368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752BC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44785609(86.51%)</w:t>
            </w:r>
          </w:p>
        </w:tc>
        <w:tc>
          <w:tcPr>
            <w:tcW w:w="2845" w:type="dxa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auto"/>
            <w:noWrap/>
            <w:vAlign w:val="center"/>
          </w:tcPr>
          <w:p w14:paraId="069C5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 w:firstLine="420" w:firstLineChars="200"/>
              <w:jc w:val="center"/>
              <w:rPr>
                <w:rFonts w:hint="default" w:ascii="Times New Roman" w:hAnsi="Times New Roman" w:eastAsia="宋体" w:cs="Times New Roman"/>
                <w:kern w:val="0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"/>
              </w:rPr>
              <w:t>42976213(83.01%)</w:t>
            </w:r>
          </w:p>
        </w:tc>
      </w:tr>
    </w:tbl>
    <w:p w14:paraId="755F6C7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0" w:firstLineChars="0"/>
        <w:jc w:val="both"/>
        <w:textAlignment w:val="auto"/>
        <w:rPr>
          <w:rFonts w:hint="default" w:ascii="Times New Roman" w:hAnsi="Times New Roman" w:eastAsia="宋体" w:cs="Times New Roman"/>
          <w:szCs w:val="21"/>
          <w:lang w:val="en-US"/>
        </w:rPr>
      </w:pPr>
      <w:r>
        <w:rPr>
          <w:rFonts w:hint="default" w:ascii="Times New Roman" w:hAnsi="Times New Roman" w:eastAsia="宋体" w:cs="Times New Roman"/>
          <w:kern w:val="2"/>
          <w:sz w:val="21"/>
          <w:szCs w:val="21"/>
          <w:lang w:val="en-US" w:eastAsia="zh-CN" w:bidi="ar"/>
        </w:rPr>
        <w:t>Note:Total Reads: total number of clean reads; Reads mapped: number of reads aligned to the reference genome; Unique mapped: number of reads of the reference genome on the unique alignment.</w:t>
      </w:r>
    </w:p>
    <w:p w14:paraId="4282D782">
      <w:pPr>
        <w:widowControl/>
        <w:spacing w:after="0" w:line="240" w:lineRule="auto"/>
        <w:jc w:val="center"/>
        <w:rPr>
          <w:rFonts w:ascii="Times New Roman" w:hAnsi="Times New Roman" w:eastAsia="黑体" w:cs="Times New Roman"/>
          <w:kern w:val="0"/>
          <w:sz w:val="18"/>
          <w14:ligatures w14:val="none"/>
        </w:rPr>
      </w:pPr>
      <w:r>
        <w:rPr>
          <w:rFonts w:hint="eastAsia" w:ascii="Times New Roman" w:hAnsi="Times New Roman" w:eastAsia="宋体" w:cs="Times New Roman"/>
          <w:kern w:val="2"/>
          <w:sz w:val="22"/>
          <w:szCs w:val="21"/>
          <w:lang w:val="en-US" w:eastAsia="zh-CN" w:bidi="ar"/>
        </w:rPr>
        <w:t>Table.3</w:t>
      </w:r>
      <w:r>
        <w:rPr>
          <w:rFonts w:hint="eastAsia" w:ascii="Times New Roman" w:hAnsi="Times New Roman" w:eastAsia="黑体" w:cs="Times New Roman"/>
          <w:kern w:val="0"/>
          <w:sz w:val="18"/>
          <w14:ligatures w14:val="none"/>
        </w:rPr>
        <w:t xml:space="preserve">  </w:t>
      </w:r>
      <w:r>
        <w:rPr>
          <w:rFonts w:ascii="Times New Roman" w:hAnsi="Times New Roman" w:eastAsia="黑体" w:cs="Times New Roman"/>
          <w:kern w:val="0"/>
          <w:sz w:val="21"/>
          <w:szCs w:val="21"/>
          <w14:ligatures w14:val="none"/>
        </w:rPr>
        <w:t xml:space="preserve">Primer sequence and usage of </w:t>
      </w:r>
      <w:r>
        <w:rPr>
          <w:rFonts w:hint="eastAsia" w:ascii="Times New Roman" w:hAnsi="Times New Roman" w:eastAsia="黑体" w:cs="Times New Roman"/>
          <w:i/>
          <w:iCs/>
          <w:kern w:val="0"/>
          <w:sz w:val="21"/>
          <w:szCs w:val="21"/>
          <w14:ligatures w14:val="none"/>
        </w:rPr>
        <w:t>StbHLH47</w:t>
      </w:r>
      <w:r>
        <w:rPr>
          <w:rFonts w:ascii="Times New Roman" w:hAnsi="Times New Roman" w:eastAsia="黑体" w:cs="Times New Roman"/>
          <w:kern w:val="0"/>
          <w:sz w:val="21"/>
          <w:szCs w:val="21"/>
          <w14:ligatures w14:val="none"/>
        </w:rPr>
        <w:t xml:space="preserve"> gene in </w:t>
      </w:r>
      <w:r>
        <w:rPr>
          <w:rFonts w:ascii="Times New Roman" w:hAnsi="Times New Roman" w:eastAsia="宋体" w:cs="Times New Roman"/>
          <w:i/>
          <w:iCs/>
          <w:kern w:val="0"/>
          <w:sz w:val="21"/>
          <w:szCs w:val="21"/>
          <w14:ligatures w14:val="none"/>
        </w:rPr>
        <w:t>Solanum tuberosum</w:t>
      </w:r>
      <w:r>
        <w:rPr>
          <w:rFonts w:ascii="Times New Roman" w:hAnsi="Times New Roman" w:eastAsia="宋体" w:cs="Times New Roman"/>
          <w:kern w:val="0"/>
          <w:sz w:val="21"/>
          <w:szCs w:val="21"/>
          <w14:ligatures w14:val="none"/>
        </w:rPr>
        <w:t xml:space="preserve"> L.</w:t>
      </w:r>
    </w:p>
    <w:tbl>
      <w:tblPr>
        <w:tblStyle w:val="3"/>
        <w:tblW w:w="8705" w:type="dxa"/>
        <w:jc w:val="center"/>
        <w:tblBorders>
          <w:top w:val="single" w:color="auto" w:sz="12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81"/>
        <w:gridCol w:w="4334"/>
        <w:gridCol w:w="2390"/>
      </w:tblGrid>
      <w:tr w14:paraId="3CAFA94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981" w:type="dxa"/>
            <w:tcBorders>
              <w:bottom w:val="single" w:color="000000" w:sz="8" w:space="0"/>
            </w:tcBorders>
            <w:vAlign w:val="bottom"/>
          </w:tcPr>
          <w:p w14:paraId="5364D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Primer name</w:t>
            </w:r>
          </w:p>
        </w:tc>
        <w:tc>
          <w:tcPr>
            <w:tcW w:w="4334" w:type="dxa"/>
            <w:tcBorders>
              <w:bottom w:val="single" w:color="000000" w:sz="8" w:space="0"/>
            </w:tcBorders>
            <w:vAlign w:val="bottom"/>
          </w:tcPr>
          <w:p w14:paraId="0BC55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Primer sequence (5'-3')</w:t>
            </w:r>
          </w:p>
        </w:tc>
        <w:tc>
          <w:tcPr>
            <w:tcW w:w="2390" w:type="dxa"/>
            <w:tcBorders>
              <w:bottom w:val="single" w:color="000000" w:sz="8" w:space="0"/>
            </w:tcBorders>
            <w:vAlign w:val="bottom"/>
          </w:tcPr>
          <w:p w14:paraId="20E96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Primer usage</w:t>
            </w:r>
          </w:p>
        </w:tc>
      </w:tr>
      <w:tr w14:paraId="3CD82CBD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457D9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bookmarkStart w:id="0" w:name="OLE_LINK49"/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14:ligatures w14:val="none"/>
              </w:rPr>
              <w:t>St</w:t>
            </w:r>
            <w:bookmarkEnd w:id="0"/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14:ligatures w14:val="none"/>
              </w:rPr>
              <w:t>bHLH47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-Q-F</w:t>
            </w:r>
          </w:p>
        </w:tc>
        <w:tc>
          <w:tcPr>
            <w:tcW w:w="4334" w:type="dxa"/>
            <w:vAlign w:val="center"/>
          </w:tcPr>
          <w:p w14:paraId="1902D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  <w:t>GAAGAAACCACAGCCCAGATACCC</w:t>
            </w:r>
          </w:p>
        </w:tc>
        <w:tc>
          <w:tcPr>
            <w:tcW w:w="2390" w:type="dxa"/>
            <w:vMerge w:val="restart"/>
            <w:vAlign w:val="center"/>
          </w:tcPr>
          <w:p w14:paraId="42CEA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  <w:p w14:paraId="48DD6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qRT-PCR</w:t>
            </w:r>
          </w:p>
        </w:tc>
      </w:tr>
      <w:tr w14:paraId="06C12F53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10141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14:ligatures w14:val="none"/>
              </w:rPr>
              <w:t>StbHLH47</w:t>
            </w: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-Q-R</w:t>
            </w:r>
          </w:p>
        </w:tc>
        <w:tc>
          <w:tcPr>
            <w:tcW w:w="4334" w:type="dxa"/>
            <w:vAlign w:val="center"/>
          </w:tcPr>
          <w:p w14:paraId="4F1D7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:szCs w:val="24"/>
                <w:lang w:val="en-US" w:eastAsia="zh-CN" w:bidi="ar-SA"/>
                <w14:ligatures w14:val="none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  <w:t>TGAACCTCCTGTCGCAACAACTG</w:t>
            </w:r>
          </w:p>
        </w:tc>
        <w:tc>
          <w:tcPr>
            <w:tcW w:w="2390" w:type="dxa"/>
            <w:vMerge w:val="continue"/>
            <w:vAlign w:val="center"/>
          </w:tcPr>
          <w:p w14:paraId="4688D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587A7A7F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7B5A7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StMOZP48-F</w:t>
            </w:r>
          </w:p>
        </w:tc>
        <w:tc>
          <w:tcPr>
            <w:tcW w:w="4334" w:type="dxa"/>
            <w:vAlign w:val="center"/>
          </w:tcPr>
          <w:p w14:paraId="61B81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GACCCGTGACAACTAAGCCAAC</w:t>
            </w:r>
          </w:p>
        </w:tc>
        <w:tc>
          <w:tcPr>
            <w:tcW w:w="2390" w:type="dxa"/>
            <w:vMerge w:val="continue"/>
            <w:vAlign w:val="center"/>
          </w:tcPr>
          <w:p w14:paraId="2A67D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18FDB4B6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62038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StMOZP48-R</w:t>
            </w:r>
          </w:p>
        </w:tc>
        <w:tc>
          <w:tcPr>
            <w:tcW w:w="4334" w:type="dxa"/>
            <w:vAlign w:val="center"/>
          </w:tcPr>
          <w:p w14:paraId="12607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TCCTCCAAGTCCAAGTCCTTCC</w:t>
            </w:r>
          </w:p>
        </w:tc>
        <w:tc>
          <w:tcPr>
            <w:tcW w:w="2390" w:type="dxa"/>
            <w:vMerge w:val="continue"/>
            <w:vAlign w:val="center"/>
          </w:tcPr>
          <w:p w14:paraId="6B27C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6B264479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0AAB5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StABAH2-F</w:t>
            </w:r>
          </w:p>
        </w:tc>
        <w:tc>
          <w:tcPr>
            <w:tcW w:w="4334" w:type="dxa"/>
            <w:vAlign w:val="center"/>
          </w:tcPr>
          <w:p w14:paraId="28713C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CCCACTCATGTCCAGGCAATG</w:t>
            </w:r>
          </w:p>
        </w:tc>
        <w:tc>
          <w:tcPr>
            <w:tcW w:w="2390" w:type="dxa"/>
            <w:vMerge w:val="continue"/>
            <w:vAlign w:val="center"/>
          </w:tcPr>
          <w:p w14:paraId="2AB1E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45DD6953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1D98F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StABAH2-R</w:t>
            </w:r>
          </w:p>
        </w:tc>
        <w:tc>
          <w:tcPr>
            <w:tcW w:w="4334" w:type="dxa"/>
            <w:vAlign w:val="center"/>
          </w:tcPr>
          <w:p w14:paraId="28E8C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GGGAAGAGCAAAGGGTCCATAC</w:t>
            </w:r>
          </w:p>
        </w:tc>
        <w:tc>
          <w:tcPr>
            <w:tcW w:w="2390" w:type="dxa"/>
            <w:vMerge w:val="continue"/>
            <w:vAlign w:val="center"/>
          </w:tcPr>
          <w:p w14:paraId="39FBB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3A47893E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257EE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StLEA41-F</w:t>
            </w:r>
          </w:p>
        </w:tc>
        <w:tc>
          <w:tcPr>
            <w:tcW w:w="4334" w:type="dxa"/>
            <w:vAlign w:val="center"/>
          </w:tcPr>
          <w:p w14:paraId="5633D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TCTTGTTGATGGTAGCTTTCCCTTG</w:t>
            </w:r>
          </w:p>
        </w:tc>
        <w:tc>
          <w:tcPr>
            <w:tcW w:w="2390" w:type="dxa"/>
            <w:vMerge w:val="continue"/>
            <w:vAlign w:val="center"/>
          </w:tcPr>
          <w:p w14:paraId="3F2A2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714C0477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7908A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StLEA41-R</w:t>
            </w:r>
          </w:p>
        </w:tc>
        <w:tc>
          <w:tcPr>
            <w:tcW w:w="4334" w:type="dxa"/>
            <w:vAlign w:val="center"/>
          </w:tcPr>
          <w:p w14:paraId="21C88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TTGACCCTTCTTCTGCTTGTGTTG</w:t>
            </w:r>
          </w:p>
        </w:tc>
        <w:tc>
          <w:tcPr>
            <w:tcW w:w="2390" w:type="dxa"/>
            <w:vMerge w:val="continue"/>
            <w:vAlign w:val="center"/>
          </w:tcPr>
          <w:p w14:paraId="6190F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269D839C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476EF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StPAL1-1-F</w:t>
            </w:r>
          </w:p>
        </w:tc>
        <w:tc>
          <w:tcPr>
            <w:tcW w:w="4334" w:type="dxa"/>
            <w:vAlign w:val="center"/>
          </w:tcPr>
          <w:p w14:paraId="1997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GCCGAGCAACACAACCAAGATG</w:t>
            </w:r>
          </w:p>
        </w:tc>
        <w:tc>
          <w:tcPr>
            <w:tcW w:w="2390" w:type="dxa"/>
            <w:vMerge w:val="continue"/>
            <w:vAlign w:val="center"/>
          </w:tcPr>
          <w:p w14:paraId="52B64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56F8D6F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2F58C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StPAL1-1-R</w:t>
            </w:r>
          </w:p>
        </w:tc>
        <w:tc>
          <w:tcPr>
            <w:tcW w:w="4334" w:type="dxa"/>
            <w:vAlign w:val="center"/>
          </w:tcPr>
          <w:p w14:paraId="097C2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GTTCTCCTCCAAATGCCTCAAATCG</w:t>
            </w:r>
          </w:p>
        </w:tc>
        <w:tc>
          <w:tcPr>
            <w:tcW w:w="2390" w:type="dxa"/>
            <w:vMerge w:val="continue"/>
            <w:vAlign w:val="center"/>
          </w:tcPr>
          <w:p w14:paraId="0E091A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167A29D6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6E48E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StPAL1-2-F</w:t>
            </w:r>
          </w:p>
        </w:tc>
        <w:tc>
          <w:tcPr>
            <w:tcW w:w="4334" w:type="dxa"/>
            <w:vAlign w:val="center"/>
          </w:tcPr>
          <w:p w14:paraId="37D81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GGGACGGAGTCTTGCCACATG</w:t>
            </w:r>
          </w:p>
        </w:tc>
        <w:tc>
          <w:tcPr>
            <w:tcW w:w="2390" w:type="dxa"/>
            <w:vMerge w:val="continue"/>
            <w:vAlign w:val="center"/>
          </w:tcPr>
          <w:p w14:paraId="45A40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2B7338C8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54541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StPAL1-2-R</w:t>
            </w:r>
          </w:p>
        </w:tc>
        <w:tc>
          <w:tcPr>
            <w:tcW w:w="4334" w:type="dxa"/>
            <w:vAlign w:val="center"/>
          </w:tcPr>
          <w:p w14:paraId="6FECD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ACCTTATGCCTGAGTAGCCTTGAAG</w:t>
            </w:r>
          </w:p>
        </w:tc>
        <w:tc>
          <w:tcPr>
            <w:tcW w:w="2390" w:type="dxa"/>
            <w:vMerge w:val="continue"/>
            <w:vAlign w:val="center"/>
          </w:tcPr>
          <w:p w14:paraId="21B48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68A195E1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3DFDC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St4CL2-1-F</w:t>
            </w:r>
          </w:p>
        </w:tc>
        <w:tc>
          <w:tcPr>
            <w:tcW w:w="4334" w:type="dxa"/>
            <w:vAlign w:val="center"/>
          </w:tcPr>
          <w:p w14:paraId="5B8D2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ATCACGAAGCAAGCGAAAGCATC</w:t>
            </w:r>
          </w:p>
        </w:tc>
        <w:tc>
          <w:tcPr>
            <w:tcW w:w="2390" w:type="dxa"/>
            <w:vMerge w:val="continue"/>
            <w:vAlign w:val="center"/>
          </w:tcPr>
          <w:p w14:paraId="6640E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465E8ADC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37ACF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St4CL2-1-R</w:t>
            </w:r>
          </w:p>
        </w:tc>
        <w:tc>
          <w:tcPr>
            <w:tcW w:w="4334" w:type="dxa"/>
            <w:vAlign w:val="center"/>
          </w:tcPr>
          <w:p w14:paraId="77DFA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AACTAAGGCATCCATCGGGTAACG</w:t>
            </w:r>
          </w:p>
        </w:tc>
        <w:tc>
          <w:tcPr>
            <w:tcW w:w="2390" w:type="dxa"/>
            <w:vMerge w:val="continue"/>
            <w:vAlign w:val="center"/>
          </w:tcPr>
          <w:p w14:paraId="0811A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6F52C5B9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0CB17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St4CL2-2-F</w:t>
            </w:r>
          </w:p>
        </w:tc>
        <w:tc>
          <w:tcPr>
            <w:tcW w:w="4334" w:type="dxa"/>
            <w:vAlign w:val="center"/>
          </w:tcPr>
          <w:p w14:paraId="41203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TGAACACGACCACTTGCCTGAG</w:t>
            </w:r>
          </w:p>
        </w:tc>
        <w:tc>
          <w:tcPr>
            <w:tcW w:w="2390" w:type="dxa"/>
            <w:vMerge w:val="continue"/>
            <w:vAlign w:val="center"/>
          </w:tcPr>
          <w:p w14:paraId="591C1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5D2CA365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6BC2E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St4CL2-2-R</w:t>
            </w:r>
          </w:p>
        </w:tc>
        <w:tc>
          <w:tcPr>
            <w:tcW w:w="4334" w:type="dxa"/>
            <w:vAlign w:val="center"/>
          </w:tcPr>
          <w:p w14:paraId="2B860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TCACCATCAACTTGTTGTGCTACAC</w:t>
            </w:r>
          </w:p>
        </w:tc>
        <w:tc>
          <w:tcPr>
            <w:tcW w:w="2390" w:type="dxa"/>
            <w:vMerge w:val="continue"/>
            <w:vAlign w:val="center"/>
          </w:tcPr>
          <w:p w14:paraId="0ACAB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2CF92B62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46000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St4CL2-3-F</w:t>
            </w:r>
          </w:p>
        </w:tc>
        <w:tc>
          <w:tcPr>
            <w:tcW w:w="4334" w:type="dxa"/>
            <w:vAlign w:val="center"/>
          </w:tcPr>
          <w:p w14:paraId="4AC478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ATGGCAGGTAACGATGTCAAAGTG</w:t>
            </w:r>
          </w:p>
        </w:tc>
        <w:tc>
          <w:tcPr>
            <w:tcW w:w="2390" w:type="dxa"/>
            <w:vMerge w:val="continue"/>
            <w:vAlign w:val="center"/>
          </w:tcPr>
          <w:p w14:paraId="15BCA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16DA58E2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4A59DC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St4CL2-3-R</w:t>
            </w:r>
          </w:p>
        </w:tc>
        <w:tc>
          <w:tcPr>
            <w:tcW w:w="4334" w:type="dxa"/>
            <w:vAlign w:val="center"/>
          </w:tcPr>
          <w:p w14:paraId="7397C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TCACGACCTAACGCCCACAC</w:t>
            </w:r>
          </w:p>
        </w:tc>
        <w:tc>
          <w:tcPr>
            <w:tcW w:w="2390" w:type="dxa"/>
            <w:vMerge w:val="continue"/>
            <w:vAlign w:val="center"/>
          </w:tcPr>
          <w:p w14:paraId="35A50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5986C3EB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7C0B8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St4CL1-F</w:t>
            </w:r>
          </w:p>
        </w:tc>
        <w:tc>
          <w:tcPr>
            <w:tcW w:w="4334" w:type="dxa"/>
            <w:vAlign w:val="center"/>
          </w:tcPr>
          <w:p w14:paraId="1509B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CAGCATAACGCCGATGAAGTTCC</w:t>
            </w:r>
          </w:p>
        </w:tc>
        <w:tc>
          <w:tcPr>
            <w:tcW w:w="2390" w:type="dxa"/>
            <w:vMerge w:val="continue"/>
            <w:vAlign w:val="center"/>
          </w:tcPr>
          <w:p w14:paraId="2C771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7B7A2A79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676E2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St4CL1-R</w:t>
            </w:r>
          </w:p>
        </w:tc>
        <w:tc>
          <w:tcPr>
            <w:tcW w:w="4334" w:type="dxa"/>
            <w:vAlign w:val="center"/>
          </w:tcPr>
          <w:p w14:paraId="0447A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AGCAAGTTCCGCATTATTCACCAC</w:t>
            </w:r>
          </w:p>
        </w:tc>
        <w:tc>
          <w:tcPr>
            <w:tcW w:w="2390" w:type="dxa"/>
            <w:vMerge w:val="continue"/>
            <w:vAlign w:val="center"/>
          </w:tcPr>
          <w:p w14:paraId="4D787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185251D6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36107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St4CL2-4-F</w:t>
            </w:r>
          </w:p>
        </w:tc>
        <w:tc>
          <w:tcPr>
            <w:tcW w:w="4334" w:type="dxa"/>
            <w:vAlign w:val="center"/>
          </w:tcPr>
          <w:p w14:paraId="10D1A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AAGAAGAGTTGGACCGGGTTATCG</w:t>
            </w:r>
          </w:p>
        </w:tc>
        <w:tc>
          <w:tcPr>
            <w:tcW w:w="2390" w:type="dxa"/>
            <w:vMerge w:val="continue"/>
            <w:vAlign w:val="center"/>
          </w:tcPr>
          <w:p w14:paraId="0C972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7173A22C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1665C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St4CL2-4-R</w:t>
            </w:r>
          </w:p>
        </w:tc>
        <w:tc>
          <w:tcPr>
            <w:tcW w:w="4334" w:type="dxa"/>
            <w:vAlign w:val="center"/>
          </w:tcPr>
          <w:p w14:paraId="0D15DD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AAGTGAGGGAGCATTAGTGGAGTTG</w:t>
            </w:r>
          </w:p>
        </w:tc>
        <w:tc>
          <w:tcPr>
            <w:tcW w:w="2390" w:type="dxa"/>
            <w:vMerge w:val="continue"/>
            <w:vAlign w:val="center"/>
          </w:tcPr>
          <w:p w14:paraId="6DE5A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  <w:tr w14:paraId="665A1991">
        <w:tblPrEx>
          <w:tblBorders>
            <w:top w:val="single" w:color="auto" w:sz="12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81" w:type="dxa"/>
            <w:vAlign w:val="center"/>
          </w:tcPr>
          <w:p w14:paraId="75EDC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i/>
                <w:iCs/>
                <w:kern w:val="0"/>
                <w:sz w:val="18"/>
                <w:lang w:val="en-US" w:eastAsia="zh-CN"/>
                <w14:ligatures w14:val="none"/>
              </w:rPr>
              <w:t>StCAB-6A-1-F</w:t>
            </w:r>
          </w:p>
        </w:tc>
        <w:tc>
          <w:tcPr>
            <w:tcW w:w="4334" w:type="dxa"/>
            <w:vAlign w:val="center"/>
          </w:tcPr>
          <w:p w14:paraId="5D433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default" w:ascii="Times New Roman" w:hAnsi="Times New Roman" w:eastAsia="宋体" w:cs="Times New Roman"/>
                <w:kern w:val="0"/>
                <w:sz w:val="18"/>
                <w14:ligatures w14:val="none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  <w:t>TCCTACCTCGACGGCTCAGC</w:t>
            </w:r>
          </w:p>
        </w:tc>
        <w:tc>
          <w:tcPr>
            <w:tcW w:w="2390" w:type="dxa"/>
            <w:vMerge w:val="continue"/>
            <w:vAlign w:val="center"/>
          </w:tcPr>
          <w:p w14:paraId="2C3D8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Times New Roman" w:hAnsi="Times New Roman" w:eastAsia="宋体" w:cs="Times New Roman"/>
                <w:kern w:val="0"/>
                <w:sz w:val="18"/>
                <w14:ligatures w14:val="none"/>
              </w:rPr>
            </w:pPr>
          </w:p>
        </w:tc>
      </w:tr>
    </w:tbl>
    <w:p w14:paraId="1A74CC15"/>
    <w:p w14:paraId="4B4135DF"/>
    <w:p w14:paraId="54C8D970">
      <w:pPr>
        <w:pStyle w:val="6"/>
        <w:keepNext w:val="0"/>
        <w:keepLines w:val="0"/>
        <w:pageBreakBefore w:val="0"/>
        <w:kinsoku/>
        <w:wordWrap/>
        <w:topLinePunct w:val="0"/>
        <w:autoSpaceDE/>
        <w:autoSpaceDN/>
        <w:bidi w:val="0"/>
        <w:adjustRightInd/>
        <w:snapToGrid/>
        <w:textAlignment w:val="auto"/>
        <w:rPr>
          <w:rFonts w:hint="eastAsia"/>
          <w:sz w:val="21"/>
          <w:szCs w:val="21"/>
          <w:highlight w:val="yellow"/>
        </w:rPr>
      </w:pPr>
      <w:r>
        <w:rPr>
          <w:rFonts w:hint="eastAsia"/>
          <w:sz w:val="21"/>
          <w:szCs w:val="21"/>
          <w:highlight w:val="yellow"/>
          <w:lang w:val="en-US" w:eastAsia="zh-CN"/>
        </w:rPr>
        <w:t>T</w:t>
      </w:r>
      <w:r>
        <w:rPr>
          <w:rFonts w:hint="eastAsia"/>
          <w:sz w:val="21"/>
          <w:szCs w:val="21"/>
          <w:highlight w:val="yellow"/>
        </w:rPr>
        <w:t>able.</w:t>
      </w:r>
      <w:r>
        <w:rPr>
          <w:rFonts w:hint="eastAsia"/>
          <w:sz w:val="21"/>
          <w:szCs w:val="21"/>
          <w:highlight w:val="yellow"/>
          <w:lang w:val="en-US" w:eastAsia="zh-CN"/>
        </w:rPr>
        <w:t xml:space="preserve">4  </w:t>
      </w:r>
      <w:r>
        <w:rPr>
          <w:rFonts w:hint="eastAsia"/>
          <w:sz w:val="21"/>
          <w:szCs w:val="21"/>
          <w:highlight w:val="yellow"/>
        </w:rPr>
        <w:t>Common antibiotic formulations</w:t>
      </w:r>
    </w:p>
    <w:tbl>
      <w:tblPr>
        <w:tblStyle w:val="3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8"/>
        <w:gridCol w:w="1717"/>
        <w:gridCol w:w="4515"/>
      </w:tblGrid>
      <w:tr w14:paraId="3D2A06D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pct"/>
            <w:tcBorders>
              <w:bottom w:val="single" w:color="auto" w:sz="8" w:space="0"/>
            </w:tcBorders>
            <w:noWrap w:val="0"/>
            <w:vAlign w:val="center"/>
          </w:tcPr>
          <w:p w14:paraId="7C9C484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21"/>
                <w:szCs w:val="21"/>
              </w:rPr>
              <w:t>Antibiotic</w:t>
            </w:r>
            <w:r>
              <w:rPr>
                <w:rFonts w:hint="default" w:ascii="Times New Roman" w:hAnsi="Times New Roman" w:cs="Times New Roman"/>
                <w:sz w:val="21"/>
                <w:szCs w:val="21"/>
                <w:lang w:val="en-US" w:eastAsia="zh-CN"/>
              </w:rPr>
              <w:t xml:space="preserve"> name</w:t>
            </w:r>
          </w:p>
        </w:tc>
        <w:tc>
          <w:tcPr>
            <w:tcW w:w="1007" w:type="pct"/>
            <w:tcBorders>
              <w:bottom w:val="single" w:color="auto" w:sz="8" w:space="0"/>
            </w:tcBorders>
            <w:noWrap w:val="0"/>
            <w:vAlign w:val="center"/>
          </w:tcPr>
          <w:p w14:paraId="24D28B2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iquor concentration</w:t>
            </w:r>
          </w:p>
        </w:tc>
        <w:tc>
          <w:tcPr>
            <w:tcW w:w="2649" w:type="pct"/>
            <w:tcBorders>
              <w:bottom w:val="single" w:color="auto" w:sz="8" w:space="0"/>
            </w:tcBorders>
            <w:noWrap w:val="0"/>
            <w:vAlign w:val="center"/>
          </w:tcPr>
          <w:p w14:paraId="295F873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reparation</w:t>
            </w:r>
          </w:p>
        </w:tc>
      </w:tr>
      <w:tr w14:paraId="6E50A5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4E67052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Kanamycin，Kana</w:t>
            </w:r>
          </w:p>
        </w:tc>
        <w:tc>
          <w:tcPr>
            <w:tcW w:w="1007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445BC2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50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649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41C4245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Weigh out 0.5g of the compound and dissolve it in sterile ddH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O to a final volume of 10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. Filter the solution using a 0.22μm sterile filter and aliquot into 1.5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sterile centrifuge tubes. Store the prepared solution at -20°C for future use.</w:t>
            </w:r>
          </w:p>
        </w:tc>
      </w:tr>
      <w:tr w14:paraId="755314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pct"/>
            <w:tcBorders>
              <w:tl2br w:val="nil"/>
              <w:tr2bl w:val="nil"/>
            </w:tcBorders>
            <w:noWrap w:val="0"/>
            <w:vAlign w:val="center"/>
          </w:tcPr>
          <w:p w14:paraId="306469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Rifampicin，Rif</w:t>
            </w:r>
          </w:p>
        </w:tc>
        <w:tc>
          <w:tcPr>
            <w:tcW w:w="1007" w:type="pct"/>
            <w:tcBorders>
              <w:tl2br w:val="nil"/>
              <w:tr2bl w:val="nil"/>
            </w:tcBorders>
            <w:noWrap w:val="0"/>
            <w:vAlign w:val="center"/>
          </w:tcPr>
          <w:p w14:paraId="15C926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noWrap w:val="0"/>
            <w:vAlign w:val="center"/>
          </w:tcPr>
          <w:p w14:paraId="214E3C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Weigh out 0.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 of the compound and dissolve it in sterile ddH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O to a final volume of 10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. Filter the solution using a 0.22μm sterile filter and aliquot into 1.5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sterile centrifuge tubes. Store the prepared solution at -20°C for future use.</w:t>
            </w:r>
          </w:p>
        </w:tc>
      </w:tr>
      <w:tr w14:paraId="1E29ADF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42" w:type="pct"/>
            <w:tcBorders>
              <w:tl2br w:val="nil"/>
              <w:tr2bl w:val="nil"/>
            </w:tcBorders>
            <w:noWrap w:val="0"/>
            <w:vAlign w:val="center"/>
          </w:tcPr>
          <w:p w14:paraId="6E165E6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Acetosyringone，AS</w:t>
            </w:r>
          </w:p>
        </w:tc>
        <w:tc>
          <w:tcPr>
            <w:tcW w:w="1007" w:type="pct"/>
            <w:tcBorders>
              <w:tl2br w:val="nil"/>
              <w:tr2bl w:val="nil"/>
            </w:tcBorders>
            <w:noWrap w:val="0"/>
            <w:vAlign w:val="center"/>
          </w:tcPr>
          <w:p w14:paraId="00FC726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100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649" w:type="pct"/>
            <w:tcBorders>
              <w:tl2br w:val="nil"/>
              <w:tr2bl w:val="nil"/>
            </w:tcBorders>
            <w:noWrap w:val="0"/>
            <w:vAlign w:val="center"/>
          </w:tcPr>
          <w:p w14:paraId="264766F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Weigh out 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 of the compound and dissolve it in sterile ddH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vertAlign w:val="subscript"/>
                <w:lang w:val="en-US" w:eastAsia="zh-CN"/>
              </w:rPr>
              <w:t>2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O to a final volume of 10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. Filter the solution using a 0.22μm sterile filter and aliquot into 1.5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sterile centrifuge tubes. Store the prepared solution at -20°C for future use.</w:t>
            </w:r>
          </w:p>
        </w:tc>
      </w:tr>
    </w:tbl>
    <w:p w14:paraId="7177567E">
      <w:pPr>
        <w:rPr>
          <w:sz w:val="21"/>
          <w:szCs w:val="21"/>
        </w:rPr>
      </w:pPr>
    </w:p>
    <w:p w14:paraId="1BA29342">
      <w:pPr>
        <w:pStyle w:val="6"/>
        <w:bidi w:val="0"/>
        <w:rPr>
          <w:rFonts w:hint="eastAsia"/>
          <w:sz w:val="21"/>
          <w:szCs w:val="21"/>
        </w:rPr>
      </w:pPr>
      <w:r>
        <w:rPr>
          <w:rFonts w:hint="eastAsia"/>
          <w:sz w:val="21"/>
          <w:szCs w:val="21"/>
        </w:rPr>
        <w:t xml:space="preserve"> </w:t>
      </w:r>
      <w:r>
        <w:rPr>
          <w:rFonts w:hint="eastAsia"/>
          <w:sz w:val="21"/>
          <w:szCs w:val="21"/>
          <w:highlight w:val="yellow"/>
          <w:lang w:val="en-US" w:eastAsia="zh-CN"/>
        </w:rPr>
        <w:t>T</w:t>
      </w:r>
      <w:r>
        <w:rPr>
          <w:rFonts w:hint="eastAsia"/>
          <w:sz w:val="21"/>
          <w:szCs w:val="21"/>
          <w:highlight w:val="yellow"/>
        </w:rPr>
        <w:t>able.</w:t>
      </w:r>
      <w:r>
        <w:rPr>
          <w:rFonts w:hint="eastAsia"/>
          <w:sz w:val="21"/>
          <w:szCs w:val="21"/>
          <w:highlight w:val="yellow"/>
          <w:lang w:val="en-US" w:eastAsia="zh-CN"/>
        </w:rPr>
        <w:t>5</w:t>
      </w:r>
      <w:r>
        <w:rPr>
          <w:rFonts w:hint="eastAsia"/>
          <w:sz w:val="21"/>
          <w:szCs w:val="21"/>
          <w:highlight w:val="yellow"/>
        </w:rPr>
        <w:t xml:space="preserve">  Common hormone formulations</w:t>
      </w:r>
    </w:p>
    <w:tbl>
      <w:tblPr>
        <w:tblStyle w:val="3"/>
        <w:tblW w:w="4999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24"/>
        <w:gridCol w:w="1359"/>
        <w:gridCol w:w="4237"/>
      </w:tblGrid>
      <w:tr w14:paraId="55BE08F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bottom w:val="single" w:color="auto" w:sz="8" w:space="0"/>
            </w:tcBorders>
            <w:noWrap w:val="0"/>
            <w:vAlign w:val="center"/>
          </w:tcPr>
          <w:p w14:paraId="375AF74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Antibiotic name</w:t>
            </w:r>
          </w:p>
        </w:tc>
        <w:tc>
          <w:tcPr>
            <w:tcW w:w="736" w:type="pct"/>
            <w:tcBorders>
              <w:bottom w:val="single" w:color="auto" w:sz="8" w:space="0"/>
            </w:tcBorders>
            <w:noWrap w:val="0"/>
            <w:vAlign w:val="center"/>
          </w:tcPr>
          <w:p w14:paraId="2EB8775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iquor concentration</w:t>
            </w:r>
          </w:p>
        </w:tc>
        <w:tc>
          <w:tcPr>
            <w:tcW w:w="2516" w:type="pct"/>
            <w:tcBorders>
              <w:bottom w:val="single" w:color="auto" w:sz="8" w:space="0"/>
            </w:tcBorders>
            <w:noWrap w:val="0"/>
            <w:vAlign w:val="center"/>
          </w:tcPr>
          <w:p w14:paraId="5AAE1ED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Preparation</w:t>
            </w:r>
          </w:p>
        </w:tc>
      </w:tr>
      <w:tr w14:paraId="6708452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7A6EC36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2,4-Dichlorophenoxyacetic acid，2,4-D</w:t>
            </w:r>
          </w:p>
        </w:tc>
        <w:tc>
          <w:tcPr>
            <w:tcW w:w="736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328C620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516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0492741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Weigh 0.1 g of the compound, dissolve it with the aid of anhydrous ethanol, and then dilute to a final volume of 100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in a volumetric flask using distilled water. Transfer the solution to a brown bottle and store it at -4°C for later use.</w:t>
            </w:r>
          </w:p>
        </w:tc>
      </w:tr>
      <w:tr w14:paraId="670D158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l2br w:val="nil"/>
              <w:tr2bl w:val="nil"/>
            </w:tcBorders>
            <w:noWrap w:val="0"/>
            <w:vAlign w:val="center"/>
          </w:tcPr>
          <w:p w14:paraId="08C689C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6-Benzylaminopurine，6-BA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 w:val="0"/>
            <w:vAlign w:val="center"/>
          </w:tcPr>
          <w:p w14:paraId="6F307B9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516" w:type="pct"/>
            <w:tcBorders>
              <w:tl2br w:val="nil"/>
              <w:tr2bl w:val="nil"/>
            </w:tcBorders>
            <w:noWrap w:val="0"/>
            <w:vAlign w:val="center"/>
          </w:tcPr>
          <w:p w14:paraId="2C55FE3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Weigh 0.1 g of the compound, dissolve it with the aid of 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NaOH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 and then dilute to a final volume of 100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in a volumetric flask using distilled water. Transfer the solution to a brown bottle and store it at -4°C for later use.</w:t>
            </w:r>
          </w:p>
        </w:tc>
      </w:tr>
      <w:tr w14:paraId="01E2426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l2br w:val="nil"/>
              <w:tr2bl w:val="nil"/>
            </w:tcBorders>
            <w:noWrap w:val="0"/>
            <w:vAlign w:val="center"/>
          </w:tcPr>
          <w:p w14:paraId="6379179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1-Naphthaleneacetic acid，NAA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 w:val="0"/>
            <w:vAlign w:val="center"/>
          </w:tcPr>
          <w:p w14:paraId="3569A10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516" w:type="pct"/>
            <w:tcBorders>
              <w:tl2br w:val="nil"/>
              <w:tr2bl w:val="nil"/>
            </w:tcBorders>
            <w:noWrap w:val="0"/>
            <w:vAlign w:val="center"/>
          </w:tcPr>
          <w:p w14:paraId="096CA43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Weigh 0.1 g of the compound, dissolve it with the aid of 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NaOH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, and then dilute to a final volume of 100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in a volumetric flask using distilled water. Transfer the solution to a brown bottle and store it at -4°C for later use.</w:t>
            </w:r>
          </w:p>
        </w:tc>
      </w:tr>
      <w:tr w14:paraId="7017D4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l2br w:val="nil"/>
              <w:tr2bl w:val="nil"/>
            </w:tcBorders>
            <w:noWrap w:val="0"/>
            <w:vAlign w:val="center"/>
          </w:tcPr>
          <w:p w14:paraId="298C2A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Indole acetic acid IAA，IAA</w:t>
            </w:r>
          </w:p>
        </w:tc>
        <w:tc>
          <w:tcPr>
            <w:tcW w:w="736" w:type="pct"/>
            <w:tcBorders>
              <w:tl2br w:val="nil"/>
              <w:tr2bl w:val="nil"/>
            </w:tcBorders>
            <w:noWrap w:val="0"/>
            <w:vAlign w:val="center"/>
          </w:tcPr>
          <w:p w14:paraId="43FE840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516" w:type="pct"/>
            <w:tcBorders>
              <w:tl2br w:val="nil"/>
              <w:tr2bl w:val="nil"/>
            </w:tcBorders>
            <w:noWrap w:val="0"/>
            <w:vAlign w:val="center"/>
          </w:tcPr>
          <w:p w14:paraId="063F10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Weigh 0.1 g of the compound, dissolve it with the aid of 95% ethanol, and then dilute to a final volume of 100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in a volumetric flask using distilled water. Transfer the solution to a brown bottle and store it at -4°C for later use.</w:t>
            </w:r>
          </w:p>
        </w:tc>
      </w:tr>
      <w:tr w14:paraId="2A0AD1B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46" w:type="pct"/>
            <w:tcBorders>
              <w:tl2br w:val="nil"/>
              <w:tr2bl w:val="nil"/>
            </w:tcBorders>
            <w:noWrap w:val="0"/>
            <w:vAlign w:val="center"/>
          </w:tcPr>
          <w:p w14:paraId="1D3E53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bookmarkStart w:id="1" w:name="_Toc111"/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Gibberellic Acid，GA3</w:t>
            </w:r>
            <w:bookmarkEnd w:id="1"/>
          </w:p>
          <w:p w14:paraId="44CCEBE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36" w:type="pct"/>
            <w:tcBorders>
              <w:tl2br w:val="nil"/>
              <w:tr2bl w:val="nil"/>
            </w:tcBorders>
            <w:noWrap w:val="0"/>
            <w:vAlign w:val="center"/>
          </w:tcPr>
          <w:p w14:paraId="3BDC51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0.1 mg/m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</w:p>
        </w:tc>
        <w:tc>
          <w:tcPr>
            <w:tcW w:w="2516" w:type="pct"/>
            <w:tcBorders>
              <w:tl2br w:val="nil"/>
              <w:tr2bl w:val="nil"/>
            </w:tcBorders>
            <w:noWrap w:val="0"/>
            <w:vAlign w:val="center"/>
          </w:tcPr>
          <w:p w14:paraId="40391A4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Weigh 0.1 g of the compound, dissolve it with the aid of 95% ethanol, and then dilute to a final volume of 100 m</w:t>
            </w: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l</w:t>
            </w: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 in a volumetric flask using distilled water. Transfer the solution to a brown bottle and store it at -4°C for later use.</w:t>
            </w:r>
          </w:p>
        </w:tc>
      </w:tr>
    </w:tbl>
    <w:p w14:paraId="7297E2CB">
      <w:pPr>
        <w:rPr>
          <w:sz w:val="21"/>
          <w:szCs w:val="21"/>
        </w:rPr>
      </w:pPr>
    </w:p>
    <w:p w14:paraId="6F68044A">
      <w:pPr>
        <w:pStyle w:val="2"/>
        <w:rPr>
          <w:sz w:val="21"/>
          <w:szCs w:val="21"/>
        </w:rPr>
      </w:pPr>
    </w:p>
    <w:p w14:paraId="3CC4ED14">
      <w:pPr>
        <w:pStyle w:val="6"/>
        <w:bidi w:val="0"/>
        <w:rPr>
          <w:rFonts w:hint="default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highlight w:val="yellow"/>
        </w:rPr>
        <w:t xml:space="preserve"> </w:t>
      </w:r>
      <w:r>
        <w:rPr>
          <w:rFonts w:hint="eastAsia"/>
          <w:sz w:val="21"/>
          <w:szCs w:val="21"/>
          <w:highlight w:val="yellow"/>
          <w:lang w:val="en-US" w:eastAsia="zh-CN"/>
        </w:rPr>
        <w:t>T</w:t>
      </w:r>
      <w:r>
        <w:rPr>
          <w:rFonts w:hint="eastAsia"/>
          <w:sz w:val="21"/>
          <w:szCs w:val="21"/>
          <w:highlight w:val="yellow"/>
        </w:rPr>
        <w:t>able.</w:t>
      </w:r>
      <w:r>
        <w:rPr>
          <w:rFonts w:hint="eastAsia"/>
          <w:sz w:val="21"/>
          <w:szCs w:val="21"/>
          <w:highlight w:val="yellow"/>
          <w:lang w:val="en-US" w:eastAsia="zh-CN"/>
        </w:rPr>
        <w:t>6 Solid LB medium （1L）</w:t>
      </w:r>
    </w:p>
    <w:tbl>
      <w:tblPr>
        <w:tblStyle w:val="4"/>
        <w:tblW w:w="4998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5"/>
        <w:gridCol w:w="2028"/>
        <w:gridCol w:w="2028"/>
        <w:gridCol w:w="2028"/>
      </w:tblGrid>
      <w:tr w14:paraId="2D619F9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pct"/>
            <w:tcBorders>
              <w:bottom w:val="single" w:color="auto" w:sz="8" w:space="0"/>
            </w:tcBorders>
            <w:noWrap w:val="0"/>
            <w:vAlign w:val="center"/>
          </w:tcPr>
          <w:p w14:paraId="23B49FE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Reagents</w:t>
            </w:r>
          </w:p>
        </w:tc>
        <w:tc>
          <w:tcPr>
            <w:tcW w:w="1190" w:type="pct"/>
            <w:tcBorders>
              <w:bottom w:val="single" w:color="auto" w:sz="8" w:space="0"/>
            </w:tcBorders>
            <w:noWrap w:val="0"/>
            <w:vAlign w:val="center"/>
          </w:tcPr>
          <w:p w14:paraId="59058F2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proportion</w:t>
            </w:r>
          </w:p>
        </w:tc>
        <w:tc>
          <w:tcPr>
            <w:tcW w:w="1190" w:type="pct"/>
            <w:tcBorders>
              <w:bottom w:val="single" w:color="auto" w:sz="8" w:space="0"/>
            </w:tcBorders>
            <w:noWrap w:val="0"/>
            <w:vAlign w:val="center"/>
          </w:tcPr>
          <w:p w14:paraId="11A66DE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Reagents</w:t>
            </w:r>
          </w:p>
        </w:tc>
        <w:tc>
          <w:tcPr>
            <w:tcW w:w="1190" w:type="pct"/>
            <w:tcBorders>
              <w:bottom w:val="single" w:color="auto" w:sz="8" w:space="0"/>
            </w:tcBorders>
            <w:noWrap w:val="0"/>
            <w:vAlign w:val="center"/>
          </w:tcPr>
          <w:p w14:paraId="0467D1F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Reagents</w:t>
            </w:r>
          </w:p>
        </w:tc>
      </w:tr>
      <w:tr w14:paraId="417FE2B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4972206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Tryptone</w:t>
            </w:r>
          </w:p>
        </w:tc>
        <w:tc>
          <w:tcPr>
            <w:tcW w:w="1190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6BF348F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10 g </w:t>
            </w:r>
          </w:p>
        </w:tc>
        <w:tc>
          <w:tcPr>
            <w:tcW w:w="1190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35E60DD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Nacl</w:t>
            </w:r>
          </w:p>
        </w:tc>
        <w:tc>
          <w:tcPr>
            <w:tcW w:w="1190" w:type="pct"/>
            <w:tcBorders>
              <w:top w:val="single" w:color="auto" w:sz="8" w:space="0"/>
              <w:tl2br w:val="nil"/>
              <w:tr2bl w:val="nil"/>
            </w:tcBorders>
            <w:noWrap w:val="0"/>
            <w:vAlign w:val="center"/>
          </w:tcPr>
          <w:p w14:paraId="2237549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10 g</w:t>
            </w:r>
          </w:p>
        </w:tc>
      </w:tr>
      <w:tr w14:paraId="3F4B6BF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29" w:type="pct"/>
            <w:tcBorders>
              <w:tl2br w:val="nil"/>
              <w:tr2bl w:val="nil"/>
            </w:tcBorders>
            <w:noWrap w:val="0"/>
            <w:vAlign w:val="center"/>
          </w:tcPr>
          <w:p w14:paraId="53A96B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Yeast Extract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noWrap w:val="0"/>
            <w:vAlign w:val="center"/>
          </w:tcPr>
          <w:p w14:paraId="5937888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 xml:space="preserve">5 g 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noWrap w:val="0"/>
            <w:vAlign w:val="center"/>
          </w:tcPr>
          <w:p w14:paraId="699116A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Agar</w:t>
            </w:r>
          </w:p>
        </w:tc>
        <w:tc>
          <w:tcPr>
            <w:tcW w:w="1190" w:type="pct"/>
            <w:tcBorders>
              <w:tl2br w:val="nil"/>
              <w:tr2bl w:val="nil"/>
            </w:tcBorders>
            <w:noWrap w:val="0"/>
            <w:vAlign w:val="center"/>
          </w:tcPr>
          <w:p w14:paraId="3313C9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bidi w:val="0"/>
              <w:adjustRightInd/>
              <w:snapToGrid/>
              <w:spacing w:beforeAutospacing="0" w:afterAutospacing="0" w:line="24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15 g</w:t>
            </w:r>
          </w:p>
        </w:tc>
      </w:tr>
    </w:tbl>
    <w:p w14:paraId="09B9A330">
      <w:pPr>
        <w:bidi w:val="0"/>
        <w:rPr>
          <w:rFonts w:hint="default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sz w:val="21"/>
          <w:szCs w:val="21"/>
          <w:lang w:val="en-US" w:eastAsia="zh-CN"/>
        </w:rPr>
        <w:t>Note: Liquid LB medium without adding agar.</w:t>
      </w:r>
    </w:p>
    <w:p w14:paraId="337DAF6A">
      <w:pPr>
        <w:rPr>
          <w:sz w:val="21"/>
          <w:szCs w:val="21"/>
        </w:rPr>
      </w:pPr>
      <w:bookmarkStart w:id="2" w:name="_GoBack"/>
      <w:bookmarkEnd w:id="2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hiMmRkN2RhYzZkYTlmMDhhOTU5NDc3ZTEzMTViMDEifQ=="/>
  </w:docVars>
  <w:rsids>
    <w:rsidRoot w:val="260A4D16"/>
    <w:rsid w:val="260A4D16"/>
    <w:rsid w:val="29C64FEC"/>
    <w:rsid w:val="5A505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图题"/>
    <w:basedOn w:val="1"/>
    <w:qFormat/>
    <w:uiPriority w:val="0"/>
    <w:pPr>
      <w:overflowPunct w:val="0"/>
      <w:ind w:firstLine="0" w:firstLineChars="0"/>
      <w:jc w:val="center"/>
    </w:pPr>
    <w:rPr>
      <w:rFonts w:hint="eastAsia" w:ascii="Times New Roman" w:hAnsi="Times New Roman" w:eastAsia="黑体" w:cs="Times New Roman"/>
      <w:iCs/>
      <w:sz w:val="18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720</Words>
  <Characters>4241</Characters>
  <Lines>0</Lines>
  <Paragraphs>0</Paragraphs>
  <TotalTime>1</TotalTime>
  <ScaleCrop>false</ScaleCrop>
  <LinksUpToDate>false</LinksUpToDate>
  <CharactersWithSpaces>4738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2024-06-03T05:14:00Z</dcterms:created>
  <dc:creator>Melony.</dc:creator>
  <cp:lastModifiedBy>Melony.</cp:lastModifiedBy>
  <dcterms:modified xsi:type="dcterms:W3CDTF">2024-12-12T10:12:22Z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1E8E4459D4724A0DACA42E24BE33336E_11</vt:lpwstr>
  </property>
</Properties>
</file>