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C06E1">
      <w:pPr>
        <w:spacing w:line="360" w:lineRule="auto"/>
        <w:jc w:val="left"/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</w:pP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fldChar w:fldCharType="begin"/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instrText xml:space="preserve"> HYPERLINK "https://link.springer.com/journal/42452" </w:instrText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fldChar w:fldCharType="separate"/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BMC Plant Biology</w:t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fldChar w:fldCharType="end"/>
      </w:r>
    </w:p>
    <w:p w14:paraId="440E3EAE">
      <w:pPr>
        <w:spacing w:line="360" w:lineRule="auto"/>
        <w:jc w:val="left"/>
        <w:rPr>
          <w:rFonts w:hint="default" w:eastAsia="宋体" w:cs="Times New Roman" w:asciiTheme="minorAscii" w:hAnsiTheme="minorAscii"/>
          <w:b/>
          <w:bCs/>
          <w:color w:val="000000"/>
          <w:kern w:val="0"/>
          <w:sz w:val="21"/>
          <w:szCs w:val="21"/>
        </w:rPr>
      </w:pPr>
    </w:p>
    <w:p w14:paraId="50303511">
      <w:pPr>
        <w:spacing w:line="360" w:lineRule="auto"/>
        <w:jc w:val="left"/>
        <w:rPr>
          <w:rFonts w:hint="default" w:eastAsia="宋体" w:cs="Times New Roman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</w:pPr>
      <w:bookmarkStart w:id="0" w:name="OLE_LINK217"/>
      <w:bookmarkStart w:id="1" w:name="OLE_LINK136"/>
      <w:bookmarkStart w:id="2" w:name="OLE_LINK91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Quantitative analysis </w:t>
      </w:r>
      <w:bookmarkEnd w:id="0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of</w:t>
      </w:r>
      <w:bookmarkEnd w:id="1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bookmarkStart w:id="3" w:name="OLE_LINK97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ethylene precursor ACC</w:t>
      </w:r>
      <w:bookmarkEnd w:id="3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in plant samples</w:t>
      </w:r>
      <w:bookmarkStart w:id="4" w:name="OLE_LINK313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by</w:t>
      </w:r>
      <w:bookmarkEnd w:id="2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bookmarkStart w:id="5" w:name="OLE_LINK121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liquid chromatography-tandem</w:t>
      </w:r>
      <w:bookmarkEnd w:id="5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bookmarkStart w:id="6" w:name="OLE_LINK219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mass </w:t>
      </w:r>
      <w:bookmarkStart w:id="7" w:name="OLE_LINK9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spectrometr</w:t>
      </w:r>
      <w:bookmarkEnd w:id="4"/>
      <w:bookmarkEnd w:id="7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y</w:t>
      </w:r>
      <w:bookmarkEnd w:id="6"/>
    </w:p>
    <w:p w14:paraId="7EC494B4">
      <w:pPr>
        <w:spacing w:line="360" w:lineRule="auto"/>
        <w:jc w:val="left"/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</w:pPr>
      <w:r>
        <w:rPr>
          <w:rFonts w:hint="default" w:eastAsia="宋体" w:cs="Times New Roman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Jianhua Tong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a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  <w:lang w:val="en-US" w:eastAsia="zh-CN"/>
        </w:rPr>
        <w:t>,1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, Wenkui Zhao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b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  <w:lang w:val="en-US" w:eastAsia="zh-CN"/>
        </w:rPr>
        <w:t>,1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, Keming Wang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c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>, Feiying Zhu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d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, </w:t>
      </w:r>
      <w:r>
        <w:rPr>
          <w:rFonts w:hint="default" w:asciiTheme="minorAscii" w:hAnsiTheme="minorAscii"/>
          <w:color w:val="000000"/>
          <w:sz w:val="21"/>
          <w:szCs w:val="21"/>
        </w:rPr>
        <w:t>Danyi Deng</w:t>
      </w:r>
      <w:r>
        <w:rPr>
          <w:rFonts w:hint="default" w:asciiTheme="minorAscii" w:hAnsiTheme="minorAscii"/>
          <w:sz w:val="21"/>
          <w:szCs w:val="21"/>
          <w:vertAlign w:val="superscript"/>
          <w:lang w:val="en-US" w:eastAsia="zh-CN"/>
        </w:rPr>
        <w:t>a</w:t>
      </w:r>
      <w:r>
        <w:rPr>
          <w:rFonts w:hint="default" w:asciiTheme="minorAscii" w:hAnsiTheme="minorAscii"/>
          <w:sz w:val="21"/>
          <w:szCs w:val="21"/>
        </w:rPr>
        <w:t>,</w:t>
      </w:r>
      <w:r>
        <w:rPr>
          <w:rFonts w:hint="default" w:asciiTheme="minorAscii" w:hAnsiTheme="minorAscii"/>
          <w:sz w:val="21"/>
          <w:szCs w:val="21"/>
          <w:lang w:val="en-US" w:eastAsia="zh-CN"/>
        </w:rPr>
        <w:t xml:space="preserve">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Langtao Xiao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a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 </w:t>
      </w:r>
      <w:bookmarkStart w:id="8" w:name="OLE_LINK27"/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>*</w:t>
      </w:r>
      <w:bookmarkEnd w:id="8"/>
    </w:p>
    <w:p w14:paraId="061203C4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bookmarkStart w:id="9" w:name="OLE_LINK7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 xml:space="preserve">a </w:t>
      </w:r>
      <w:bookmarkStart w:id="10" w:name="OLE_LINK208"/>
      <w:bookmarkStart w:id="11" w:name="OLE_LINK321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Hunan Provincial Key Laboratory of Phytohormones and Growth Development,</w:t>
      </w:r>
      <w:bookmarkStart w:id="12" w:name="OLE_LINK178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</w:t>
      </w:r>
      <w:bookmarkEnd w:id="10"/>
      <w:bookmarkEnd w:id="12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College of Bioscience and Biotechnology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lang w:val="en-US" w:eastAsia="zh-CN"/>
        </w:rPr>
        <w:t>,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</w:t>
      </w:r>
      <w:bookmarkEnd w:id="9"/>
      <w:bookmarkStart w:id="13" w:name="OLE_LINK303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College of Bioscience and Biotechnology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Hunan Agricultural University</w:t>
      </w:r>
      <w:bookmarkEnd w:id="13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, Changsha 410128, China</w:t>
      </w:r>
    </w:p>
    <w:bookmarkEnd w:id="11"/>
    <w:p w14:paraId="3AB7E0B3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 xml:space="preserve">b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College of Chemistry and Materials, Hunan Agricultural University, Changsha 410128, China</w:t>
      </w:r>
    </w:p>
    <w:p w14:paraId="2F84CE1F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 xml:space="preserve">c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Assets and Laboratory Management Department,</w:t>
      </w:r>
      <w:bookmarkStart w:id="14" w:name="OLE_LINK179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</w:t>
      </w:r>
      <w:bookmarkStart w:id="15" w:name="OLE_LINK93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Hunan </w:t>
      </w:r>
      <w:bookmarkStart w:id="16" w:name="OLE_LINK322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Agricultural University</w:t>
      </w:r>
      <w:bookmarkEnd w:id="14"/>
      <w:bookmarkEnd w:id="15"/>
      <w:bookmarkEnd w:id="16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, Changsha 410128, China</w:t>
      </w:r>
    </w:p>
    <w:p w14:paraId="032E69AE">
      <w:pPr>
        <w:spacing w:line="360" w:lineRule="auto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>d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Hunan Academy of Agricultural Sciences, Changsha, 410125, China</w:t>
      </w:r>
    </w:p>
    <w:p w14:paraId="4A286970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>*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Corresponding author: Langtao Xiao</w:t>
      </w:r>
    </w:p>
    <w:p w14:paraId="2DA17A60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E-mail: </w:t>
      </w:r>
      <w:bookmarkStart w:id="17" w:name="OLE_LINK62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fldChar w:fldCharType="begin"/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instrText xml:space="preserve"> HYPERLINK "mailto:ltxiao@hunau.edu.cn" </w:instrTex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fldChar w:fldCharType="separate"/>
      </w:r>
      <w:r>
        <w:rPr>
          <w:rStyle w:val="8"/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ltxiao@hunau.edu.cn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fldChar w:fldCharType="end"/>
      </w:r>
      <w:bookmarkEnd w:id="17"/>
    </w:p>
    <w:p w14:paraId="279C5B9C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6080F596">
      <w:pPr>
        <w:pStyle w:val="3"/>
        <w:keepNext w:val="0"/>
        <w:keepLines w:val="0"/>
        <w:widowControl/>
        <w:suppressLineNumbers w:val="0"/>
        <w:shd w:val="clear" w:fill="FFFFFF"/>
        <w:spacing w:after="240" w:afterAutospacing="0"/>
        <w:ind w:left="0" w:firstLine="0"/>
        <w:rPr>
          <w:rFonts w:hint="default" w:cs="Times New Roman" w:asciiTheme="minorAscii" w:hAnsiTheme="minorAscii"/>
          <w:b/>
          <w:bCs/>
          <w:sz w:val="21"/>
          <w:szCs w:val="21"/>
        </w:rPr>
      </w:pPr>
      <w:r>
        <w:rPr>
          <w:rFonts w:hint="default" w:cs="Times New Roman" w:asciiTheme="minorAscii" w:hAnsiTheme="minorAscii"/>
          <w:b/>
          <w:bCs/>
          <w:sz w:val="21"/>
          <w:szCs w:val="21"/>
        </w:rPr>
        <w:t xml:space="preserve">The </w:t>
      </w:r>
      <w:r>
        <w:rPr>
          <w:rFonts w:hint="default" w:cs="Times New Roman" w:asciiTheme="minorAscii" w:hAnsiTheme="minorAscii" w:eastAsiaTheme="minorEastAsia"/>
          <w:b/>
          <w:bCs/>
          <w:kern w:val="2"/>
          <w:sz w:val="21"/>
          <w:szCs w:val="21"/>
          <w:lang w:val="en-US" w:eastAsia="zh-CN" w:bidi="ar-SA"/>
        </w:rPr>
        <w:t>Supplementary material </w:t>
      </w:r>
      <w:r>
        <w:rPr>
          <w:rFonts w:hint="default" w:cs="Times New Roman" w:asciiTheme="minorAscii" w:hAnsiTheme="minorAscii"/>
          <w:b/>
          <w:bCs/>
          <w:sz w:val="21"/>
          <w:szCs w:val="21"/>
        </w:rPr>
        <w:t>includes following items:</w:t>
      </w:r>
    </w:p>
    <w:p w14:paraId="3E9AA2ED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tbl>
      <w:tblPr>
        <w:tblStyle w:val="6"/>
        <w:tblpPr w:leftFromText="180" w:rightFromText="180" w:vertAnchor="text" w:horzAnchor="margin" w:tblpXSpec="center" w:tblpY="122"/>
        <w:tblW w:w="8640" w:type="dxa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7151"/>
      </w:tblGrid>
      <w:tr w14:paraId="6D53BF3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B1D1324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48E2D64">
            <w:pPr>
              <w:snapToGrid w:val="0"/>
              <w:spacing w:line="360" w:lineRule="auto"/>
              <w:jc w:val="left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  <w:t>Fig.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S1 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>The extraction ion chromatograms of ACC (A) and [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>H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 xml:space="preserve">]ACC (B) by UPLC-ESI-MS/MS, calibration curve for ACC (C), respectively. </w:t>
            </w:r>
          </w:p>
        </w:tc>
      </w:tr>
      <w:tr w14:paraId="4B6F7021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D100301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D0585F5">
            <w:pPr>
              <w:spacing w:line="360" w:lineRule="auto"/>
              <w:jc w:val="left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  <w:t>Fig.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  <w:lang w:val="en-US" w:eastAsia="zh-CN"/>
              </w:rPr>
              <w:t>S2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 xml:space="preserve">The extraction ion chromatograms of ACC measured in various fruits’ extracts by UHPLC-ESI-MS/MS. 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</w:p>
        </w:tc>
      </w:tr>
      <w:tr w14:paraId="7BA1EA90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6829254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eastAsia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B02A528">
            <w:pPr>
              <w:spacing w:line="480" w:lineRule="auto"/>
              <w:jc w:val="left"/>
              <w:rPr>
                <w:rFonts w:hint="eastAsia" w:ascii="Calibri" w:hAnsi="Calibri" w:eastAsia="宋体" w:cs="Times New Roman"/>
                <w:color w:val="000000"/>
                <w:szCs w:val="21"/>
              </w:rPr>
            </w:pPr>
            <w:r>
              <w:rPr>
                <w:rFonts w:ascii="Calibri" w:hAnsi="Calibri"/>
                <w:b/>
                <w:bCs/>
                <w:color w:val="000000"/>
                <w:szCs w:val="21"/>
              </w:rPr>
              <w:t>Fig</w:t>
            </w:r>
            <w:r>
              <w:rPr>
                <w:rFonts w:hint="default" w:ascii="Calibri" w:hAnsi="Calibri"/>
                <w:b/>
                <w:bCs/>
                <w:color w:val="000000"/>
                <w:szCs w:val="21"/>
                <w:lang w:val="en-US" w:eastAsia="zh-CN"/>
              </w:rPr>
              <w:t>.</w:t>
            </w:r>
            <w:r>
              <w:rPr>
                <w:rFonts w:ascii="Calibri" w:hAnsi="Calibri"/>
                <w:color w:val="000000"/>
                <w:szCs w:val="21"/>
              </w:rPr>
              <w:t xml:space="preserve"> </w:t>
            </w:r>
            <w:r>
              <w:rPr>
                <w:rFonts w:hint="eastAsia" w:eastAsia="宋体" w:cs="Times New Roman" w:asciiTheme="minorAscii" w:hAnsiTheme="minorAscii"/>
                <w:b/>
                <w:bCs/>
                <w:color w:val="000000"/>
                <w:sz w:val="21"/>
                <w:szCs w:val="21"/>
                <w:lang w:val="en-US" w:eastAsia="zh-CN"/>
              </w:rPr>
              <w:t>S3</w:t>
            </w:r>
            <w:r>
              <w:rPr>
                <w:rFonts w:hint="eastAsia" w:ascii="Calibri" w:hAnsi="Calibri"/>
                <w:color w:val="000000"/>
                <w:szCs w:val="21"/>
              </w:rPr>
              <w:t xml:space="preserve">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1-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>A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minocyclopropane-1-carboxylic acid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 xml:space="preserve"> (</w:t>
            </w:r>
            <w:r>
              <w:rPr>
                <w:rFonts w:hint="eastAsia" w:ascii="Calibri" w:hAnsi="Calibri"/>
                <w:color w:val="000000"/>
                <w:szCs w:val="21"/>
              </w:rPr>
              <w:t>ACC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)</w:t>
            </w:r>
            <w:r>
              <w:rPr>
                <w:rFonts w:hint="eastAsia" w:ascii="Calibri" w:hAnsi="Calibri"/>
                <w:color w:val="000000"/>
                <w:szCs w:val="21"/>
              </w:rPr>
              <w:t xml:space="preserve"> oxidize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d</w:t>
            </w:r>
            <w:r>
              <w:rPr>
                <w:rFonts w:hint="eastAsia" w:ascii="Calibri" w:hAnsi="Calibri"/>
                <w:color w:val="000000"/>
                <w:szCs w:val="21"/>
              </w:rPr>
              <w:t xml:space="preserve"> to ethylene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by ACC oxidase (ACO)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, and </w:t>
            </w:r>
            <w:r>
              <w:rPr>
                <w:rFonts w:hint="eastAsia" w:ascii="Calibri" w:hAnsi="Calibri"/>
                <w:color w:val="000000"/>
                <w:szCs w:val="21"/>
              </w:rPr>
              <w:t>ACC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 conjugated to three derivates: 1-malonyl-ACC (MACC) by the ACC-N-malonyl transferase (AMT), r-glutamyl-ACC (GACC) by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>g-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glutamyl-transferase (GGT), and jasmonyl-ACC (JA-ACC) by jasmonic acid resistance1 (JAR1) [</w:t>
            </w:r>
            <w:r>
              <w:rPr>
                <w:rFonts w:hint="default" w:ascii="Calibri" w:hAnsi="Calibri" w:eastAsia="宋体" w:cs="Times New Roman"/>
                <w:color w:val="0000FF"/>
                <w:szCs w:val="21"/>
                <w:lang w:val="en-US" w:eastAsia="zh-CN" w:bidi="ar"/>
              </w:rPr>
              <w:t>32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宋体" w:cs="Times New Roman"/>
                <w:color w:val="0000FF"/>
                <w:szCs w:val="21"/>
                <w:lang w:val="en-US" w:eastAsia="zh-CN" w:bidi="ar"/>
              </w:rPr>
              <w:t>33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]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.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</w:p>
          <w:p w14:paraId="2C83AF53">
            <w:pPr>
              <w:spacing w:line="360" w:lineRule="auto"/>
              <w:jc w:val="left"/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72168231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E96760B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27F07FB9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56AF62EA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4F768CB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6B8864F9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789F3A74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5A0A77E5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80E8F2C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5CF78346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C8203D6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480EEE3B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1B4832D1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58B507A0">
      <w:pPr>
        <w:jc w:val="left"/>
        <w:rPr>
          <w:rFonts w:hint="default" w:asciiTheme="minorAscii" w:hAnsiTheme="minorAscii" w:eastAsiaTheme="minorEastAsia"/>
          <w:sz w:val="21"/>
          <w:szCs w:val="21"/>
          <w:lang w:eastAsia="zh-CN"/>
        </w:rPr>
      </w:pPr>
      <w:r>
        <w:rPr>
          <w:rFonts w:hint="default" w:cs="Times New Roman" w:asciiTheme="minorAscii" w:hAnsiTheme="minorAscii" w:eastAsiaTheme="minorEastAsia"/>
          <w:b/>
          <w:bCs/>
          <w:sz w:val="21"/>
          <w:szCs w:val="21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Figure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.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EA834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  <w:bookmarkStart w:id="18" w:name="OLE_LINK4"/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</w:rPr>
        <w:t>Fig.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  <w:lang w:val="en-US" w:eastAsia="zh-CN"/>
        </w:rPr>
        <w:t xml:space="preserve">S1 </w:t>
      </w:r>
      <w:bookmarkEnd w:id="18"/>
      <w:r>
        <w:rPr>
          <w:rFonts w:hint="default" w:asciiTheme="minorAscii" w:hAnsiTheme="minorAscii"/>
          <w:color w:val="000000"/>
          <w:sz w:val="21"/>
          <w:szCs w:val="21"/>
        </w:rPr>
        <w:t xml:space="preserve">The </w:t>
      </w:r>
      <w:bookmarkStart w:id="19" w:name="OLE_LINK137"/>
      <w:r>
        <w:rPr>
          <w:rFonts w:hint="default" w:asciiTheme="minorAscii" w:hAnsiTheme="minorAscii"/>
          <w:color w:val="000000"/>
          <w:sz w:val="21"/>
          <w:szCs w:val="21"/>
        </w:rPr>
        <w:t>extraction ion chromatograms</w:t>
      </w:r>
      <w:bookmarkEnd w:id="19"/>
      <w:r>
        <w:rPr>
          <w:rFonts w:hint="default" w:asciiTheme="minorAscii" w:hAnsiTheme="minorAscii"/>
          <w:color w:val="000000"/>
          <w:sz w:val="21"/>
          <w:szCs w:val="21"/>
        </w:rPr>
        <w:t xml:space="preserve"> of ACC (A) and [</w:t>
      </w:r>
      <w:r>
        <w:rPr>
          <w:rFonts w:hint="default" w:asciiTheme="minorAscii" w:hAnsiTheme="minorAscii"/>
          <w:color w:val="000000"/>
          <w:sz w:val="21"/>
          <w:szCs w:val="21"/>
          <w:vertAlign w:val="superscript"/>
        </w:rPr>
        <w:t>2</w:t>
      </w:r>
      <w:r>
        <w:rPr>
          <w:rFonts w:hint="default" w:asciiTheme="minorAscii" w:hAnsiTheme="minorAscii"/>
          <w:color w:val="000000"/>
          <w:sz w:val="21"/>
          <w:szCs w:val="21"/>
        </w:rPr>
        <w:t>H</w:t>
      </w:r>
      <w:r>
        <w:rPr>
          <w:rFonts w:hint="default" w:asciiTheme="minorAscii" w:hAnsiTheme="minorAscii"/>
          <w:color w:val="000000"/>
          <w:sz w:val="21"/>
          <w:szCs w:val="21"/>
          <w:vertAlign w:val="subscript"/>
        </w:rPr>
        <w:t>4</w:t>
      </w:r>
      <w:r>
        <w:rPr>
          <w:rFonts w:hint="default" w:asciiTheme="minorAscii" w:hAnsiTheme="minorAscii"/>
          <w:color w:val="000000"/>
          <w:sz w:val="21"/>
          <w:szCs w:val="21"/>
        </w:rPr>
        <w:t xml:space="preserve">]ACC (B) by UPLC-ESI-MS/MS, calibration curve for ACC (C), </w:t>
      </w:r>
      <w:bookmarkStart w:id="20" w:name="OLE_LINK268"/>
      <w:r>
        <w:rPr>
          <w:rFonts w:hint="default" w:asciiTheme="minorAscii" w:hAnsiTheme="minorAscii"/>
          <w:color w:val="000000"/>
          <w:sz w:val="21"/>
          <w:szCs w:val="21"/>
        </w:rPr>
        <w:t>respectively</w:t>
      </w:r>
      <w:bookmarkEnd w:id="20"/>
      <w:r>
        <w:rPr>
          <w:rFonts w:hint="default" w:asciiTheme="minorAscii" w:hAnsiTheme="minorAscii"/>
          <w:color w:val="000000"/>
          <w:sz w:val="21"/>
          <w:szCs w:val="21"/>
        </w:rPr>
        <w:t xml:space="preserve">. </w:t>
      </w:r>
    </w:p>
    <w:p w14:paraId="26A0A6EB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7F4C13AD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62F11BE9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2AE39D42">
      <w:pPr>
        <w:spacing w:line="360" w:lineRule="auto"/>
        <w:rPr>
          <w:rFonts w:hint="default" w:eastAsia="宋体" w:cs="Times New Roman" w:asciiTheme="minorAscii" w:hAnsiTheme="minorAscii"/>
          <w:color w:val="000000"/>
          <w:sz w:val="21"/>
          <w:szCs w:val="21"/>
          <w:lang w:eastAsia="zh-CN"/>
        </w:rPr>
      </w:pPr>
      <w:r>
        <w:rPr>
          <w:rFonts w:hint="default" w:eastAsia="宋体" w:cs="Times New Roman" w:asciiTheme="minorAscii" w:hAnsiTheme="minorAscii"/>
          <w:color w:val="000000"/>
          <w:sz w:val="21"/>
          <w:szCs w:val="21"/>
          <w:lang w:eastAsia="zh-CN"/>
        </w:rPr>
        <w:drawing>
          <wp:inline distT="0" distB="0" distL="114300" distR="114300">
            <wp:extent cx="5266690" cy="3298825"/>
            <wp:effectExtent l="0" t="0" r="0" b="0"/>
            <wp:docPr id="3" name="图片 3" descr="Figure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. S2"/>
                    <pic:cNvPicPr>
                      <a:picLocks noChangeAspect="1"/>
                    </pic:cNvPicPr>
                  </pic:nvPicPr>
                  <pic:blipFill>
                    <a:blip r:embed="rId6"/>
                    <a:srcRect b="164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2E601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  <w:bookmarkStart w:id="21" w:name="OLE_LINK3"/>
      <w:bookmarkStart w:id="22" w:name="OLE_LINK5"/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</w:rPr>
        <w:t>Fig.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  <w:lang w:val="en-US" w:eastAsia="zh-CN"/>
        </w:rPr>
        <w:t>S2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bookmarkStart w:id="23" w:name="OLE_LINK271"/>
      <w:bookmarkStart w:id="24" w:name="OLE_LINK1"/>
      <w:r>
        <w:rPr>
          <w:rFonts w:hint="default" w:asciiTheme="minorAscii" w:hAnsiTheme="minorAscii"/>
          <w:color w:val="000000"/>
          <w:sz w:val="21"/>
          <w:szCs w:val="21"/>
        </w:rPr>
        <w:t>The extraction ion chromatograms of ACC measured in various</w:t>
      </w:r>
      <w:bookmarkEnd w:id="23"/>
      <w:r>
        <w:rPr>
          <w:rFonts w:hint="default" w:asciiTheme="minorAscii" w:hAnsiTheme="minorAscii"/>
          <w:color w:val="000000"/>
          <w:sz w:val="21"/>
          <w:szCs w:val="21"/>
        </w:rPr>
        <w:t xml:space="preserve"> fruits’ extracts by UHPLC-ESI-MS/MS. </w:t>
      </w:r>
      <w:bookmarkEnd w:id="21"/>
      <w:bookmarkEnd w:id="24"/>
    </w:p>
    <w:p w14:paraId="0CF6C467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4A017294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77D6E926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6941458E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2FE2E996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5E8952D3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03DB9EF0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33154EE5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56DD411F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7FC61D84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1E384015">
      <w:pPr>
        <w:spacing w:line="360" w:lineRule="auto"/>
        <w:jc w:val="left"/>
        <w:rPr>
          <w:rFonts w:hint="eastAsia" w:ascii="Calibri" w:hAnsi="Calibri" w:eastAsia="宋体"/>
          <w:color w:val="000000"/>
          <w:szCs w:val="21"/>
          <w:lang w:eastAsia="zh-CN"/>
        </w:rPr>
      </w:pP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eastAsia" w:ascii="Calibri" w:hAnsi="Calibri" w:eastAsia="宋体"/>
          <w:color w:val="000000"/>
          <w:szCs w:val="21"/>
          <w:lang w:eastAsia="zh-CN"/>
        </w:rPr>
        <w:drawing>
          <wp:inline distT="0" distB="0" distL="114300" distR="114300">
            <wp:extent cx="4174490" cy="2379980"/>
            <wp:effectExtent l="0" t="0" r="16510" b="1270"/>
            <wp:docPr id="4" name="图片 1" descr="Figure.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igure. 8"/>
                    <pic:cNvPicPr>
                      <a:picLocks noChangeAspect="1"/>
                    </pic:cNvPicPr>
                  </pic:nvPicPr>
                  <pic:blipFill>
                    <a:blip r:embed="rId7"/>
                    <a:srcRect l="10622" t="18872" r="10115" b="20880"/>
                    <a:stretch>
                      <a:fillRect/>
                    </a:stretch>
                  </pic:blipFill>
                  <pic:spPr>
                    <a:xfrm>
                      <a:off x="0" y="0"/>
                      <a:ext cx="417449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7172A">
      <w:pPr>
        <w:spacing w:line="480" w:lineRule="auto"/>
        <w:jc w:val="left"/>
        <w:rPr>
          <w:rFonts w:hint="eastAsia" w:ascii="Calibri" w:hAnsi="Calibri" w:eastAsia="宋体" w:cs="Times New Roman"/>
          <w:color w:val="000000"/>
          <w:szCs w:val="21"/>
        </w:rPr>
      </w:pPr>
      <w:r>
        <w:rPr>
          <w:rFonts w:ascii="Calibri" w:hAnsi="Calibri"/>
          <w:b/>
          <w:bCs/>
          <w:color w:val="000000"/>
          <w:szCs w:val="21"/>
        </w:rPr>
        <w:t>Fig</w:t>
      </w:r>
      <w:r>
        <w:rPr>
          <w:rFonts w:hint="default" w:ascii="Calibri" w:hAnsi="Calibri"/>
          <w:b/>
          <w:bCs/>
          <w:color w:val="000000"/>
          <w:szCs w:val="21"/>
          <w:lang w:val="en-US" w:eastAsia="zh-CN"/>
        </w:rPr>
        <w:t>.</w:t>
      </w:r>
      <w:r>
        <w:rPr>
          <w:rFonts w:ascii="Calibri" w:hAnsi="Calibri"/>
          <w:color w:val="000000"/>
          <w:szCs w:val="21"/>
        </w:rPr>
        <w:t xml:space="preserve"> </w:t>
      </w:r>
      <w:r>
        <w:rPr>
          <w:rFonts w:hint="eastAsia" w:ascii="Calibri" w:hAnsi="Calibri"/>
          <w:b/>
          <w:bCs/>
          <w:color w:val="000000"/>
          <w:szCs w:val="21"/>
          <w:lang w:val="en-US" w:eastAsia="zh-CN"/>
        </w:rPr>
        <w:t>S3</w:t>
      </w:r>
      <w:bookmarkStart w:id="25" w:name="_GoBack"/>
      <w:bookmarkEnd w:id="25"/>
      <w:r>
        <w:rPr>
          <w:rFonts w:hint="eastAsia" w:ascii="Calibri" w:hAnsi="Calibri"/>
          <w:color w:val="000000"/>
          <w:szCs w:val="21"/>
        </w:rPr>
        <w:t xml:space="preserve"> </w:t>
      </w:r>
      <w:r>
        <w:rPr>
          <w:rFonts w:hint="eastAsia" w:ascii="Calibri" w:hAnsi="Calibri" w:eastAsia="宋体" w:cs="Times New Roman"/>
          <w:color w:val="000000"/>
          <w:szCs w:val="21"/>
        </w:rPr>
        <w:t>1-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>A</w:t>
      </w:r>
      <w:r>
        <w:rPr>
          <w:rFonts w:hint="eastAsia" w:ascii="Calibri" w:hAnsi="Calibri" w:eastAsia="宋体" w:cs="Times New Roman"/>
          <w:color w:val="000000"/>
          <w:szCs w:val="21"/>
        </w:rPr>
        <w:t>minocyclopropane-1-carboxylic acid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 xml:space="preserve"> (</w:t>
      </w:r>
      <w:r>
        <w:rPr>
          <w:rFonts w:hint="eastAsia" w:ascii="Calibri" w:hAnsi="Calibri"/>
          <w:color w:val="000000"/>
          <w:szCs w:val="21"/>
        </w:rPr>
        <w:t>ACC</w:t>
      </w:r>
      <w:r>
        <w:rPr>
          <w:rFonts w:hint="eastAsia" w:ascii="Calibri" w:hAnsi="Calibri"/>
          <w:color w:val="000000"/>
          <w:szCs w:val="21"/>
          <w:lang w:val="en-US" w:eastAsia="zh-CN"/>
        </w:rPr>
        <w:t>)</w:t>
      </w:r>
      <w:r>
        <w:rPr>
          <w:rFonts w:hint="eastAsia" w:ascii="Calibri" w:hAnsi="Calibri"/>
          <w:color w:val="000000"/>
          <w:szCs w:val="21"/>
        </w:rPr>
        <w:t xml:space="preserve"> oxidize</w:t>
      </w:r>
      <w:r>
        <w:rPr>
          <w:rFonts w:hint="eastAsia" w:ascii="Calibri" w:hAnsi="Calibri"/>
          <w:color w:val="000000"/>
          <w:szCs w:val="21"/>
          <w:lang w:val="en-US" w:eastAsia="zh-CN"/>
        </w:rPr>
        <w:t>d</w:t>
      </w:r>
      <w:r>
        <w:rPr>
          <w:rFonts w:hint="eastAsia" w:ascii="Calibri" w:hAnsi="Calibri"/>
          <w:color w:val="000000"/>
          <w:szCs w:val="21"/>
        </w:rPr>
        <w:t xml:space="preserve"> to ethylene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</w:t>
      </w:r>
      <w:r>
        <w:rPr>
          <w:rFonts w:hint="eastAsia" w:ascii="Calibri" w:hAnsi="Calibri" w:eastAsia="宋体" w:cs="Times New Roman"/>
          <w:color w:val="000000"/>
          <w:szCs w:val="21"/>
        </w:rPr>
        <w:t>by ACC oxidase (ACO)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, and </w:t>
      </w:r>
      <w:r>
        <w:rPr>
          <w:rFonts w:hint="eastAsia" w:ascii="Calibri" w:hAnsi="Calibri"/>
          <w:color w:val="000000"/>
          <w:szCs w:val="21"/>
        </w:rPr>
        <w:t>ACC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conjugated to three derivates: 1-malonyl-ACC (MACC) by the ACC-N-malonyl transferase (AMT), r-glutamyl-ACC (GACC) by 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>g-</w:t>
      </w:r>
      <w:r>
        <w:rPr>
          <w:rFonts w:hint="eastAsia" w:ascii="Calibri" w:hAnsi="Calibri"/>
          <w:color w:val="000000"/>
          <w:szCs w:val="21"/>
          <w:lang w:val="en-US" w:eastAsia="zh-CN"/>
        </w:rPr>
        <w:t>glutamyl-transferase (GGT), and jasmonyl-ACC (JA-ACC) by jasmonic acid resistance1 (JAR1) [</w:t>
      </w:r>
      <w:r>
        <w:rPr>
          <w:rFonts w:hint="default" w:ascii="Calibri" w:hAnsi="Calibri" w:eastAsia="宋体" w:cs="Times New Roman"/>
          <w:color w:val="0000FF"/>
          <w:szCs w:val="21"/>
          <w:lang w:val="en-US" w:eastAsia="zh-CN" w:bidi="ar"/>
        </w:rPr>
        <w:t>32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, </w:t>
      </w:r>
      <w:r>
        <w:rPr>
          <w:rFonts w:hint="default" w:ascii="Calibri" w:hAnsi="Calibri" w:eastAsia="宋体" w:cs="Times New Roman"/>
          <w:color w:val="0000FF"/>
          <w:szCs w:val="21"/>
          <w:lang w:val="en-US" w:eastAsia="zh-CN" w:bidi="ar"/>
        </w:rPr>
        <w:t>33</w:t>
      </w:r>
      <w:r>
        <w:rPr>
          <w:rFonts w:hint="eastAsia" w:ascii="Calibri" w:hAnsi="Calibri"/>
          <w:color w:val="000000"/>
          <w:szCs w:val="21"/>
          <w:lang w:val="en-US" w:eastAsia="zh-CN"/>
        </w:rPr>
        <w:t>]</w:t>
      </w:r>
      <w:r>
        <w:rPr>
          <w:rFonts w:hint="eastAsia" w:ascii="Calibri" w:hAnsi="Calibri" w:eastAsia="宋体" w:cs="Times New Roman"/>
          <w:color w:val="000000"/>
          <w:szCs w:val="21"/>
        </w:rPr>
        <w:t>.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 xml:space="preserve"> </w:t>
      </w:r>
    </w:p>
    <w:p w14:paraId="272778B1">
      <w:pPr>
        <w:spacing w:line="360" w:lineRule="auto"/>
        <w:jc w:val="left"/>
        <w:rPr>
          <w:rFonts w:hint="default" w:ascii="Calibri" w:hAnsi="Calibri" w:eastAsia="宋体"/>
          <w:color w:val="000000"/>
          <w:szCs w:val="21"/>
          <w:lang w:eastAsia="zh-CN"/>
        </w:rPr>
      </w:pPr>
    </w:p>
    <w:bookmarkEnd w:id="22"/>
    <w:p w14:paraId="3547538D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81EB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44118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44118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4MDc1ZDg5Zjk1MjBjNDhkYWEzZmVhOTA4ODU3NTQifQ=="/>
  </w:docVars>
  <w:rsids>
    <w:rsidRoot w:val="02BC3547"/>
    <w:rsid w:val="028B0B63"/>
    <w:rsid w:val="02BC3547"/>
    <w:rsid w:val="0A151BFF"/>
    <w:rsid w:val="0C28640C"/>
    <w:rsid w:val="185E3459"/>
    <w:rsid w:val="24FD456E"/>
    <w:rsid w:val="28A33A1F"/>
    <w:rsid w:val="2F8376E0"/>
    <w:rsid w:val="33A17E8E"/>
    <w:rsid w:val="3BA03D2D"/>
    <w:rsid w:val="452D2096"/>
    <w:rsid w:val="45B375E6"/>
    <w:rsid w:val="47BF63C2"/>
    <w:rsid w:val="54C15E72"/>
    <w:rsid w:val="56361190"/>
    <w:rsid w:val="691C1DB6"/>
    <w:rsid w:val="6AE36966"/>
    <w:rsid w:val="6C4A53F3"/>
    <w:rsid w:val="6D5C16C9"/>
    <w:rsid w:val="704C7307"/>
    <w:rsid w:val="775F1B8A"/>
    <w:rsid w:val="7818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</Words>
  <Characters>1125</Characters>
  <Lines>0</Lines>
  <Paragraphs>0</Paragraphs>
  <TotalTime>2</TotalTime>
  <ScaleCrop>false</ScaleCrop>
  <LinksUpToDate>false</LinksUpToDate>
  <CharactersWithSpaces>1296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2023-07-26T02:16:00Z</dcterms:created>
  <dc:creator>Administrator</dc:creator>
  <cp:lastModifiedBy>赵畅宇妈妈</cp:lastModifiedBy>
  <dcterms:modified xsi:type="dcterms:W3CDTF">2024-12-05T13:17:10Z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2BBF93E642CE4A11A5CA9865C3D93B9B_13</vt:lpwstr>
  </property>
</Properties>
</file>