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B6C29" w14:textId="695942F2" w:rsidR="00AC4D5F" w:rsidRDefault="00AC4D5F" w:rsidP="00AC4D5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1B31">
        <w:rPr>
          <w:rFonts w:ascii="Times New Roman" w:hAnsi="Times New Roman" w:cs="Times New Roman"/>
          <w:b/>
          <w:bCs/>
          <w:sz w:val="24"/>
          <w:szCs w:val="24"/>
        </w:rPr>
        <w:t xml:space="preserve">Quantification of plant and soil Cd contents with morphological characteristics </w:t>
      </w:r>
    </w:p>
    <w:p w14:paraId="06313472" w14:textId="77777777" w:rsidR="00AC4D5F" w:rsidRPr="00950E77" w:rsidRDefault="00AC4D5F" w:rsidP="00AC4D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plants components including (roots and shoots) were separated carefully to prevent any tangling and over lapping. Shoot and root length were estimated by using ruler. </w:t>
      </w:r>
      <w:r w:rsidRPr="00950E77">
        <w:rPr>
          <w:rFonts w:ascii="Times New Roman" w:hAnsi="Times New Roman" w:cs="Times New Roman"/>
          <w:sz w:val="24"/>
          <w:szCs w:val="24"/>
        </w:rPr>
        <w:t xml:space="preserve">In addition, the fresh weight (FW) was quantified using a calibrated digital precision balance to ensure precise </w:t>
      </w:r>
      <w:r>
        <w:rPr>
          <w:rFonts w:ascii="Times New Roman" w:hAnsi="Times New Roman" w:cs="Times New Roman"/>
          <w:sz w:val="24"/>
          <w:szCs w:val="24"/>
        </w:rPr>
        <w:t>measurement</w:t>
      </w:r>
      <w:r w:rsidRPr="00950E77">
        <w:rPr>
          <w:rFonts w:ascii="Times New Roman" w:hAnsi="Times New Roman" w:cs="Times New Roman"/>
          <w:sz w:val="24"/>
          <w:szCs w:val="24"/>
        </w:rPr>
        <w:t>. On the other hand, the dry weight (DW) was measured by completely drying the collected samples at a temperature of 85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E77">
        <w:rPr>
          <w:rFonts w:ascii="Times New Roman" w:hAnsi="Times New Roman" w:cs="Times New Roman"/>
          <w:sz w:val="24"/>
          <w:szCs w:val="24"/>
        </w:rPr>
        <w:t>°C for a duration of 15 minutes, and then continuing to dry them at a temperature of 65°C until they were completely free of moisture.</w:t>
      </w:r>
    </w:p>
    <w:p w14:paraId="28B59AD5" w14:textId="0EC1A14A" w:rsidR="00AC4D5F" w:rsidRDefault="00AC4D5F" w:rsidP="00AC4D5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3B5E">
        <w:rPr>
          <w:rFonts w:ascii="Times New Roman" w:hAnsi="Times New Roman" w:cs="Times New Roman"/>
          <w:b/>
          <w:bCs/>
          <w:sz w:val="24"/>
          <w:szCs w:val="24"/>
        </w:rPr>
        <w:t xml:space="preserve">Chlorophyll </w:t>
      </w:r>
      <w:r>
        <w:rPr>
          <w:rFonts w:ascii="Times New Roman" w:hAnsi="Times New Roman" w:cs="Times New Roman"/>
          <w:b/>
          <w:bCs/>
          <w:sz w:val="24"/>
          <w:szCs w:val="24"/>
        </w:rPr>
        <w:t>fluorescence observation</w:t>
      </w:r>
    </w:p>
    <w:p w14:paraId="5A01B7AB" w14:textId="62BA0682" w:rsidR="00AC4D5F" w:rsidRPr="00EC04ED" w:rsidRDefault="00AC4D5F" w:rsidP="00AC4D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601">
        <w:rPr>
          <w:rFonts w:ascii="Times New Roman" w:hAnsi="Times New Roman" w:cs="Times New Roman"/>
          <w:sz w:val="24"/>
          <w:szCs w:val="24"/>
        </w:rPr>
        <w:t>Chlorophyll fluorescence (</w:t>
      </w:r>
      <w:proofErr w:type="spellStart"/>
      <w:r w:rsidRPr="000C5601">
        <w:rPr>
          <w:rFonts w:ascii="Times New Roman" w:hAnsi="Times New Roman" w:cs="Times New Roman"/>
          <w:sz w:val="24"/>
          <w:szCs w:val="24"/>
        </w:rPr>
        <w:t>Fv</w:t>
      </w:r>
      <w:proofErr w:type="spellEnd"/>
      <w:r w:rsidRPr="000C5601">
        <w:rPr>
          <w:rFonts w:ascii="Times New Roman" w:hAnsi="Times New Roman" w:cs="Times New Roman"/>
          <w:sz w:val="24"/>
          <w:szCs w:val="24"/>
        </w:rPr>
        <w:t xml:space="preserve">/m) was assessed with an IMAGING-PAM chlorophyll </w:t>
      </w:r>
      <w:proofErr w:type="spellStart"/>
      <w:r w:rsidRPr="000C5601">
        <w:rPr>
          <w:rFonts w:ascii="Times New Roman" w:hAnsi="Times New Roman" w:cs="Times New Roman"/>
          <w:sz w:val="24"/>
          <w:szCs w:val="24"/>
        </w:rPr>
        <w:t>fluorimeter</w:t>
      </w:r>
      <w:proofErr w:type="spellEnd"/>
      <w:r w:rsidRPr="000C560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C5601">
        <w:rPr>
          <w:rFonts w:ascii="Times New Roman" w:hAnsi="Times New Roman" w:cs="Times New Roman"/>
          <w:sz w:val="24"/>
          <w:szCs w:val="24"/>
        </w:rPr>
        <w:t>Walz</w:t>
      </w:r>
      <w:proofErr w:type="spellEnd"/>
      <w:r w:rsidRPr="000C56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5601">
        <w:rPr>
          <w:rFonts w:ascii="Times New Roman" w:hAnsi="Times New Roman" w:cs="Times New Roman"/>
          <w:sz w:val="24"/>
          <w:szCs w:val="24"/>
        </w:rPr>
        <w:t>Effeltrich</w:t>
      </w:r>
      <w:proofErr w:type="spellEnd"/>
      <w:r w:rsidRPr="000C5601">
        <w:rPr>
          <w:rFonts w:ascii="Times New Roman" w:hAnsi="Times New Roman" w:cs="Times New Roman"/>
          <w:sz w:val="24"/>
          <w:szCs w:val="24"/>
        </w:rPr>
        <w:t xml:space="preserve">, Germany), following the protocol described by </w:t>
      </w:r>
      <w:r w:rsidR="004137D1">
        <w:rPr>
          <w:rFonts w:ascii="Times New Roman" w:hAnsi="Times New Roman" w:cs="Times New Roman"/>
          <w:sz w:val="24"/>
          <w:szCs w:val="24"/>
        </w:rPr>
        <w:fldChar w:fldCharType="begin"/>
      </w:r>
      <w:r w:rsidR="004137D1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&lt;EndNote&gt;&lt;Cite&gt;&lt;Author&gt;He&lt;/Author&gt;&lt;Year&gt;2019&lt;/Year&gt;&lt;RecNum&gt;1167&lt;/RecNum&gt;&lt;DisplayText&gt;(He et al., 2019)&lt;/DisplayText&gt;&lt;record&gt;&lt;rec-number&gt;1167&lt;/rec-number&gt;&lt;foreign-keys&gt;&lt;key app="EN" db-id="2z55zp90a0tavlefw27vf9fh2vaxerzea5pw" timestamp="1746380830"&gt;1167&lt;/key&gt;&lt;/foreign-keys&gt;&lt;ref-type name="Journal Article"&gt;17&lt;/ref-type&gt;&lt;contributors&gt;&lt;authors&gt;&lt;author&gt;He, Xiaoyan&lt;/author&gt;&lt;author&gt;Richmond, Marvin EA&lt;/author&gt;&lt;author&gt;Williams, Darron V&lt;/author&gt;&lt;author&gt;Zheng, Weite&lt;/author&gt;&lt;author&gt;Wu, Feibo &lt;/author&gt;&lt;/authors&gt;&lt;/contributors&gt;&lt;titles&gt;&lt;title&gt;Exogenous glycinebetaine reduces cadmium uptake and mitigates cadmium toxicity in two tobacco genotypes differing in cadmium tolerance&lt;/title&gt;&lt;secondary-title&gt;International journal of molecular sciences&lt;/secondary-title&gt;&lt;/titles&gt;&lt;periodical&gt;&lt;full-title&gt;International Journal of Molecular Sciences&lt;/full-title&gt;&lt;/periodical&gt;&lt;pages&gt;1612&lt;/pages&gt;&lt;volume&gt;20&lt;/volume&gt;&lt;number&gt;7&lt;/number&gt;&lt;dates&gt;&lt;year&gt;2019&lt;/year&gt;&lt;/dates&gt;&lt;isbn&gt;1422-0067&lt;/isbn&gt;&lt;urls&gt;&lt;/urls&gt;&lt;/record&gt;&lt;/Cite&gt;&lt;/EndNote&gt;</w:instrText>
      </w:r>
      <w:r w:rsidR="004137D1">
        <w:rPr>
          <w:rFonts w:ascii="Times New Roman" w:hAnsi="Times New Roman" w:cs="Times New Roman"/>
          <w:sz w:val="24"/>
          <w:szCs w:val="24"/>
        </w:rPr>
        <w:fldChar w:fldCharType="separate"/>
      </w:r>
      <w:r w:rsidR="004137D1">
        <w:rPr>
          <w:rFonts w:ascii="Times New Roman" w:hAnsi="Times New Roman" w:cs="Times New Roman"/>
          <w:noProof/>
          <w:sz w:val="24"/>
          <w:szCs w:val="24"/>
        </w:rPr>
        <w:t>(He et al., 2019)</w:t>
      </w:r>
      <w:r w:rsidR="004137D1">
        <w:rPr>
          <w:rFonts w:ascii="Times New Roman" w:hAnsi="Times New Roman" w:cs="Times New Roman"/>
          <w:sz w:val="24"/>
          <w:szCs w:val="24"/>
        </w:rPr>
        <w:fldChar w:fldCharType="end"/>
      </w:r>
      <w:r w:rsidRPr="000C5601">
        <w:rPr>
          <w:rFonts w:ascii="Times New Roman" w:hAnsi="Times New Roman" w:cs="Times New Roman"/>
          <w:sz w:val="24"/>
          <w:szCs w:val="24"/>
        </w:rPr>
        <w:t xml:space="preserve">. This involved dark-incubating intact leaves for 30 minutes prior to fluorescence estimation. Minimum fluorescence (Fo) was measured under low-intensity light (&lt;0.05 </w:t>
      </w:r>
      <w:proofErr w:type="spellStart"/>
      <w:r w:rsidRPr="000C5601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0C5601">
        <w:rPr>
          <w:rFonts w:ascii="Times New Roman" w:hAnsi="Times New Roman" w:cs="Times New Roman"/>
          <w:sz w:val="24"/>
          <w:szCs w:val="24"/>
        </w:rPr>
        <w:t xml:space="preserve"> m</w:t>
      </w:r>
      <w:r w:rsidRPr="00795D0A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0C5601">
        <w:rPr>
          <w:rFonts w:ascii="Times New Roman" w:hAnsi="Times New Roman" w:cs="Times New Roman"/>
          <w:sz w:val="24"/>
          <w:szCs w:val="24"/>
        </w:rPr>
        <w:t>s</w:t>
      </w:r>
      <w:r w:rsidRPr="00795D0A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0C56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601">
        <w:rPr>
          <w:rFonts w:ascii="Times New Roman" w:hAnsi="Times New Roman" w:cs="Times New Roman"/>
          <w:sz w:val="24"/>
          <w:szCs w:val="24"/>
        </w:rPr>
        <w:t>photosynthetically</w:t>
      </w:r>
      <w:proofErr w:type="spellEnd"/>
      <w:r w:rsidRPr="000C5601">
        <w:rPr>
          <w:rFonts w:ascii="Times New Roman" w:hAnsi="Times New Roman" w:cs="Times New Roman"/>
          <w:sz w:val="24"/>
          <w:szCs w:val="24"/>
        </w:rPr>
        <w:t xml:space="preserve"> active radiation), while maximum fluorescence (Fm) was gauged using a saturating pulse (2500 </w:t>
      </w:r>
      <w:proofErr w:type="spellStart"/>
      <w:r w:rsidRPr="000C5601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0C5601">
        <w:rPr>
          <w:rFonts w:ascii="Times New Roman" w:hAnsi="Times New Roman" w:cs="Times New Roman"/>
          <w:sz w:val="24"/>
          <w:szCs w:val="24"/>
        </w:rPr>
        <w:t xml:space="preserve"> m</w:t>
      </w:r>
      <w:r w:rsidRPr="00795D0A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0C5601">
        <w:rPr>
          <w:rFonts w:ascii="Times New Roman" w:hAnsi="Times New Roman" w:cs="Times New Roman"/>
          <w:sz w:val="24"/>
          <w:szCs w:val="24"/>
        </w:rPr>
        <w:t xml:space="preserve"> s</w:t>
      </w:r>
      <w:r w:rsidRPr="00795D0A">
        <w:rPr>
          <w:rFonts w:ascii="Times New Roman" w:hAnsi="Times New Roman" w:cs="Times New Roman"/>
          <w:sz w:val="24"/>
          <w:szCs w:val="24"/>
          <w:vertAlign w:val="superscript"/>
        </w:rPr>
        <w:t>−1</w:t>
      </w:r>
      <w:r w:rsidRPr="000C56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5601">
        <w:rPr>
          <w:rFonts w:ascii="Times New Roman" w:hAnsi="Times New Roman" w:cs="Times New Roman"/>
          <w:sz w:val="24"/>
          <w:szCs w:val="24"/>
        </w:rPr>
        <w:t>photosynthetically</w:t>
      </w:r>
      <w:proofErr w:type="spellEnd"/>
      <w:r w:rsidRPr="000C5601">
        <w:rPr>
          <w:rFonts w:ascii="Times New Roman" w:hAnsi="Times New Roman" w:cs="Times New Roman"/>
          <w:sz w:val="24"/>
          <w:szCs w:val="24"/>
        </w:rPr>
        <w:t xml:space="preserve"> active radiation). Fluorescence variability and the maximum quantum yield of PSII photochemistry (</w:t>
      </w:r>
      <w:proofErr w:type="spellStart"/>
      <w:r w:rsidRPr="000C5601">
        <w:rPr>
          <w:rFonts w:ascii="Times New Roman" w:hAnsi="Times New Roman" w:cs="Times New Roman"/>
          <w:sz w:val="24"/>
          <w:szCs w:val="24"/>
        </w:rPr>
        <w:t>Fv</w:t>
      </w:r>
      <w:proofErr w:type="spellEnd"/>
      <w:r w:rsidRPr="000C5601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0C5601">
        <w:rPr>
          <w:rFonts w:ascii="Times New Roman" w:hAnsi="Times New Roman" w:cs="Times New Roman"/>
          <w:sz w:val="24"/>
          <w:szCs w:val="24"/>
        </w:rPr>
        <w:t>Fm</w:t>
      </w:r>
      <w:proofErr w:type="spellEnd"/>
      <w:r w:rsidRPr="000C560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C5601">
        <w:rPr>
          <w:rFonts w:ascii="Times New Roman" w:hAnsi="Times New Roman" w:cs="Times New Roman"/>
          <w:sz w:val="24"/>
          <w:szCs w:val="24"/>
        </w:rPr>
        <w:t>Fo</w:t>
      </w:r>
      <w:proofErr w:type="spellEnd"/>
      <w:r w:rsidRPr="000C560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C5601">
        <w:rPr>
          <w:rFonts w:ascii="Times New Roman" w:hAnsi="Times New Roman" w:cs="Times New Roman"/>
          <w:sz w:val="24"/>
          <w:szCs w:val="24"/>
        </w:rPr>
        <w:t>Fv</w:t>
      </w:r>
      <w:proofErr w:type="spellEnd"/>
      <w:r w:rsidRPr="000C5601">
        <w:rPr>
          <w:rFonts w:ascii="Times New Roman" w:hAnsi="Times New Roman" w:cs="Times New Roman"/>
          <w:sz w:val="24"/>
          <w:szCs w:val="24"/>
        </w:rPr>
        <w:t xml:space="preserve">/m, respectively) were calculated as per the guidelines established by </w:t>
      </w:r>
      <w:r w:rsidR="004137D1">
        <w:rPr>
          <w:rFonts w:ascii="Times New Roman" w:hAnsi="Times New Roman" w:cs="Times New Roman"/>
          <w:sz w:val="24"/>
          <w:szCs w:val="24"/>
        </w:rPr>
        <w:fldChar w:fldCharType="begin"/>
      </w:r>
      <w:r w:rsidR="004137D1">
        <w:rPr>
          <w:rFonts w:ascii="Times New Roman" w:hAnsi="Times New Roman" w:cs="Times New Roman"/>
          <w:sz w:val="24"/>
          <w:szCs w:val="24"/>
        </w:rPr>
        <w:instrText xml:space="preserve"> ADDIN EN.CITE &lt;EndNote&gt;&lt;Cite AuthorYear="1"&gt;&lt;Author&gt;Genty&lt;/Author&gt;&lt;Year&gt;1989&lt;/Year&gt;&lt;RecNum&gt;1166&lt;/RecNum&gt;&lt;DisplayText&gt;Genty et al. (1989)&lt;/DisplayText&gt;&lt;record&gt;&lt;rec-number&gt;1166&lt;/rec-number&gt;&lt;foreign-keys&gt;&lt;key app="EN" db-id="2z55zp90a0tavlefw27vf9fh2vaxerzea5pw" timestamp="1746380711"&gt;1166&lt;/key&gt;&lt;/foreign-keys&gt;&lt;ref-type name="Journal Article"&gt;17&lt;/ref-type&gt;&lt;contributors&gt;&lt;authors&gt;&lt;author&gt;Genty, Bernard&lt;/author&gt;&lt;author&gt;Briantais, Jean-Marie&lt;/author&gt;&lt;author&gt;Baker, Neil R&lt;/author&gt;&lt;/authors&gt;&lt;/contributors&gt;&lt;titles&gt;&lt;title&gt;The relationship between the quantum yield of photosynthetic electron transport and quenching of chlorophyll fluorescence&lt;/title&gt;&lt;secondary-title&gt;Biochimica et Biophysica Acta&lt;/secondary-title&gt;&lt;/titles&gt;&lt;periodical&gt;&lt;full-title&gt;Biochimica et Biophysica Acta&lt;/full-title&gt;&lt;/periodical&gt;&lt;pages&gt;87-92&lt;/pages&gt;&lt;volume&gt;990&lt;/volume&gt;&lt;number&gt;1&lt;/number&gt;&lt;dates&gt;&lt;year&gt;1989&lt;/year&gt;&lt;/dates&gt;&lt;isbn&gt;0304-4165&lt;/isbn&gt;&lt;urls&gt;&lt;/urls&gt;&lt;/record&gt;&lt;/Cite&gt;&lt;/EndNote&gt;</w:instrText>
      </w:r>
      <w:r w:rsidR="004137D1">
        <w:rPr>
          <w:rFonts w:ascii="Times New Roman" w:hAnsi="Times New Roman" w:cs="Times New Roman"/>
          <w:sz w:val="24"/>
          <w:szCs w:val="24"/>
        </w:rPr>
        <w:fldChar w:fldCharType="separate"/>
      </w:r>
      <w:r w:rsidR="004137D1">
        <w:rPr>
          <w:rFonts w:ascii="Times New Roman" w:hAnsi="Times New Roman" w:cs="Times New Roman"/>
          <w:noProof/>
          <w:sz w:val="24"/>
          <w:szCs w:val="24"/>
        </w:rPr>
        <w:t>Genty et al. (1989)</w:t>
      </w:r>
      <w:r w:rsidR="004137D1">
        <w:rPr>
          <w:rFonts w:ascii="Times New Roman" w:hAnsi="Times New Roman" w:cs="Times New Roman"/>
          <w:sz w:val="24"/>
          <w:szCs w:val="24"/>
        </w:rPr>
        <w:fldChar w:fldCharType="end"/>
      </w:r>
      <w:r w:rsidRPr="000C5601">
        <w:rPr>
          <w:rFonts w:ascii="Times New Roman" w:hAnsi="Times New Roman" w:cs="Times New Roman"/>
          <w:sz w:val="24"/>
          <w:szCs w:val="24"/>
        </w:rPr>
        <w:t xml:space="preserve">, with fluorescence images for </w:t>
      </w:r>
      <w:proofErr w:type="spellStart"/>
      <w:r w:rsidRPr="000C5601">
        <w:rPr>
          <w:rFonts w:ascii="Times New Roman" w:hAnsi="Times New Roman" w:cs="Times New Roman"/>
          <w:sz w:val="24"/>
          <w:szCs w:val="24"/>
        </w:rPr>
        <w:t>Fv</w:t>
      </w:r>
      <w:proofErr w:type="spellEnd"/>
      <w:r w:rsidRPr="000C5601">
        <w:rPr>
          <w:rFonts w:ascii="Times New Roman" w:hAnsi="Times New Roman" w:cs="Times New Roman"/>
          <w:sz w:val="24"/>
          <w:szCs w:val="24"/>
        </w:rPr>
        <w:t>/m generated via Imaging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5601">
        <w:rPr>
          <w:rFonts w:ascii="Times New Roman" w:hAnsi="Times New Roman" w:cs="Times New Roman"/>
          <w:sz w:val="24"/>
          <w:szCs w:val="24"/>
        </w:rPr>
        <w:t xml:space="preserve">Win software (IMAGING-PAM, </w:t>
      </w:r>
      <w:proofErr w:type="spellStart"/>
      <w:r w:rsidRPr="000C5601">
        <w:rPr>
          <w:rFonts w:ascii="Times New Roman" w:hAnsi="Times New Roman" w:cs="Times New Roman"/>
          <w:sz w:val="24"/>
          <w:szCs w:val="24"/>
        </w:rPr>
        <w:t>Walz</w:t>
      </w:r>
      <w:proofErr w:type="spellEnd"/>
      <w:r w:rsidRPr="000C56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5601">
        <w:rPr>
          <w:rFonts w:ascii="Times New Roman" w:hAnsi="Times New Roman" w:cs="Times New Roman"/>
          <w:sz w:val="24"/>
          <w:szCs w:val="24"/>
        </w:rPr>
        <w:t>Effeltrich</w:t>
      </w:r>
      <w:proofErr w:type="spellEnd"/>
      <w:r w:rsidRPr="000C5601">
        <w:rPr>
          <w:rFonts w:ascii="Times New Roman" w:hAnsi="Times New Roman" w:cs="Times New Roman"/>
          <w:sz w:val="24"/>
          <w:szCs w:val="24"/>
        </w:rPr>
        <w:t>, Germany).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EFF03E" w14:textId="40499DE7" w:rsidR="00AC4D5F" w:rsidRDefault="00AC4D5F" w:rsidP="00AC4D5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D03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Quantitative analysis of malondialdehyde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(MDA)</w:t>
      </w:r>
      <w:r w:rsidRPr="007D03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, hydrogen peroxide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(H</w:t>
      </w:r>
      <w:r w:rsidRPr="007D03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vertAlign w:val="subscript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</w:t>
      </w:r>
      <w:r w:rsidRPr="007D03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vertAlign w:val="subscript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), electrolyte leakage (EL)</w:t>
      </w:r>
      <w:r w:rsidRPr="007D03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and superoxide anion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(O</w:t>
      </w:r>
      <w:r w:rsidRPr="007D03ED">
        <w:rPr>
          <w:vertAlign w:val="superscript"/>
        </w:rPr>
        <w:t>•</w:t>
      </w:r>
      <w:r w:rsidRPr="007D03E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–2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)</w:t>
      </w:r>
    </w:p>
    <w:p w14:paraId="25E03B30" w14:textId="77777777" w:rsidR="00AC4D5F" w:rsidRPr="008E3C7E" w:rsidRDefault="00AC4D5F" w:rsidP="00AC4D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0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64B70EA" w14:textId="60E6DDBC" w:rsidR="00AC4D5F" w:rsidRDefault="00AC4D5F" w:rsidP="00AC4D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5DE">
        <w:rPr>
          <w:rFonts w:ascii="Times New Roman" w:hAnsi="Times New Roman" w:cs="Times New Roman"/>
          <w:sz w:val="24"/>
          <w:szCs w:val="24"/>
        </w:rPr>
        <w:t>The determination of MDA, H</w:t>
      </w:r>
      <w:r w:rsidRPr="001045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045DE">
        <w:rPr>
          <w:rFonts w:ascii="Times New Roman" w:hAnsi="Times New Roman" w:cs="Times New Roman"/>
          <w:sz w:val="24"/>
          <w:szCs w:val="24"/>
        </w:rPr>
        <w:t>O</w:t>
      </w:r>
      <w:r w:rsidRPr="001045D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045DE">
        <w:rPr>
          <w:rFonts w:ascii="Times New Roman" w:hAnsi="Times New Roman" w:cs="Times New Roman"/>
          <w:sz w:val="24"/>
          <w:szCs w:val="24"/>
        </w:rPr>
        <w:t>, and O</w:t>
      </w:r>
      <w:r w:rsidRPr="00C1619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045DE">
        <w:rPr>
          <w:rFonts w:ascii="Times New Roman" w:hAnsi="Times New Roman" w:cs="Times New Roman"/>
          <w:sz w:val="24"/>
          <w:szCs w:val="24"/>
          <w:vertAlign w:val="superscript"/>
        </w:rPr>
        <w:t>•–</w:t>
      </w:r>
      <w:r w:rsidRPr="001045DE">
        <w:rPr>
          <w:rFonts w:ascii="Times New Roman" w:hAnsi="Times New Roman" w:cs="Times New Roman"/>
          <w:sz w:val="24"/>
          <w:szCs w:val="24"/>
        </w:rPr>
        <w:t xml:space="preserve"> activities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1045DE">
        <w:rPr>
          <w:rFonts w:ascii="Times New Roman" w:hAnsi="Times New Roman" w:cs="Times New Roman"/>
          <w:sz w:val="24"/>
          <w:szCs w:val="24"/>
        </w:rPr>
        <w:t xml:space="preserve"> conducted in accordance with the techniques outlined by </w:t>
      </w:r>
      <w:r w:rsidR="004137D1">
        <w:rPr>
          <w:rFonts w:ascii="Times New Roman" w:hAnsi="Times New Roman" w:cs="Times New Roman"/>
          <w:sz w:val="24"/>
          <w:szCs w:val="24"/>
        </w:rPr>
        <w:fldChar w:fldCharType="begin"/>
      </w:r>
      <w:r w:rsidR="004137D1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&lt;EndNote&gt;&lt;Cite&gt;&lt;Author&gt;Ali&lt;/Author&gt;&lt;Year&gt;2019&lt;/Year&gt;&lt;RecNum&gt;1164&lt;/RecNum&gt;&lt;DisplayText&gt;(Ali et al., 2019)&lt;/DisplayText&gt;&lt;record&gt;&lt;rec-number&gt;1164&lt;/rec-number&gt;&lt;foreign-keys&gt;&lt;key app="EN" db-id="2z55zp90a0tavlefw27vf9fh2vaxerzea5pw" timestamp="1746380325"&gt;1164&lt;/key&gt;&lt;/foreign-keys&gt;&lt;ref-type name="Journal Article"&gt;17&lt;/ref-type&gt;&lt;contributors&gt;&lt;authors&gt;&lt;author&gt;Ali, Muhammad Arif&lt;/author&gt;&lt;author&gt;Fahad, Shah&lt;/author&gt;&lt;author&gt;Haider, Idrees&lt;/author&gt;&lt;author&gt;Ahmed, Niaz&lt;/author&gt;&lt;author&gt;Ahmad, Shakeel&lt;/author&gt;&lt;author&gt;Hussain, Sajjad&lt;/author&gt;&lt;author&gt;Arshad, Muhammad&lt;/author&gt;&lt;/authors&gt;&lt;/contributors&gt;&lt;titles&gt;&lt;title&gt;Oxidative stress and antioxidant defense in plants exposed to metal/metalloid toxicity&lt;/title&gt;&lt;secondary-title&gt;Reactive oxygen, nitrogen&amp;#xD;sulfur species in plants: production, metabolism, signaling&amp;#xD;defense mechanisms&lt;/secondary-title&gt;&lt;/titles&gt;&lt;pages&gt;353-370&lt;/pages&gt;&lt;dates&gt;&lt;year&gt;2019&lt;/year&gt;&lt;/dates&gt;&lt;urls&gt;&lt;/urls&gt;&lt;/record&gt;&lt;/Cite&gt;&lt;/EndNote&gt;</w:instrText>
      </w:r>
      <w:r w:rsidR="004137D1">
        <w:rPr>
          <w:rFonts w:ascii="Times New Roman" w:hAnsi="Times New Roman" w:cs="Times New Roman"/>
          <w:sz w:val="24"/>
          <w:szCs w:val="24"/>
        </w:rPr>
        <w:fldChar w:fldCharType="separate"/>
      </w:r>
      <w:r w:rsidR="004137D1">
        <w:rPr>
          <w:rFonts w:ascii="Times New Roman" w:hAnsi="Times New Roman" w:cs="Times New Roman"/>
          <w:noProof/>
          <w:sz w:val="24"/>
          <w:szCs w:val="24"/>
        </w:rPr>
        <w:t>(Ali et al., 2019)</w:t>
      </w:r>
      <w:r w:rsidR="004137D1">
        <w:rPr>
          <w:rFonts w:ascii="Times New Roman" w:hAnsi="Times New Roman" w:cs="Times New Roman"/>
          <w:sz w:val="24"/>
          <w:szCs w:val="24"/>
        </w:rPr>
        <w:fldChar w:fldCharType="end"/>
      </w:r>
      <w:r w:rsidRPr="001045DE">
        <w:rPr>
          <w:rFonts w:ascii="Times New Roman" w:hAnsi="Times New Roman" w:cs="Times New Roman"/>
          <w:sz w:val="24"/>
          <w:szCs w:val="24"/>
        </w:rPr>
        <w:t>. Specifically, lipid peroxidation was quantified by measuring MDA content i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1045DE">
        <w:rPr>
          <w:rFonts w:ascii="Times New Roman" w:hAnsi="Times New Roman" w:cs="Times New Roman"/>
          <w:sz w:val="24"/>
          <w:szCs w:val="24"/>
        </w:rPr>
        <w:t xml:space="preserve"> shoot tissues</w:t>
      </w:r>
      <w:r>
        <w:rPr>
          <w:rFonts w:ascii="Times New Roman" w:hAnsi="Times New Roman" w:cs="Times New Roman"/>
          <w:sz w:val="24"/>
          <w:szCs w:val="24"/>
        </w:rPr>
        <w:t>. In summary, initially take 100 mg leaf tissues, homogenate in 65 mM potassium phosphate (K</w:t>
      </w:r>
      <w:r w:rsidRPr="00831F7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PO</w:t>
      </w:r>
      <w:r w:rsidRPr="00831F7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buffer at pH 7.8 and then centrifuged at 10000 </w:t>
      </w:r>
      <w:r w:rsidRPr="004C2324">
        <w:rPr>
          <w:rFonts w:ascii="Times New Roman" w:hAnsi="Times New Roman" w:cs="Times New Roman"/>
          <w:i/>
          <w:iCs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 for 25 minutes at 4 </w:t>
      </w:r>
      <w:r w:rsidRPr="00F003DD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. Take resultant supernatant and add 5% trichloroacetic acid (TCA) and thiobarbituric acid (TBA) and placed for incubation at 95 </w:t>
      </w:r>
      <w:r w:rsidRPr="00F003DD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 for 25 minutes. Later, final solution place on ice bar to stop chemical reaction and again put for centrifugation for 12 minutes at 4500 </w:t>
      </w:r>
      <w:r w:rsidRPr="00A8782F">
        <w:rPr>
          <w:rFonts w:ascii="Times New Roman" w:hAnsi="Times New Roman" w:cs="Times New Roman"/>
          <w:i/>
          <w:iCs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 and finally observation was recorded at 532 and 600 nm. Furthermore, H</w:t>
      </w:r>
      <w:r w:rsidRPr="00EA176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EA176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contents was executed by taking 0.2 g leaf tissues, intermixed with 1 ml cold extraction buffer containing 25 mM (K</w:t>
      </w:r>
      <w:r w:rsidRPr="00831F7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PO</w:t>
      </w:r>
      <w:r w:rsidRPr="00831F7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, pH: 7) and 1 Mm EDTA, and homogenized. Later on place solution for centrifugation at 12000 </w:t>
      </w:r>
      <w:r w:rsidRPr="00EA1767">
        <w:rPr>
          <w:rFonts w:ascii="Times New Roman" w:hAnsi="Times New Roman" w:cs="Times New Roman"/>
          <w:i/>
          <w:iCs/>
          <w:sz w:val="24"/>
          <w:szCs w:val="24"/>
        </w:rPr>
        <w:t>g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10 minutes at 4 </w:t>
      </w:r>
      <w:r w:rsidRPr="00F003DD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. After getting transparent solution the </w:t>
      </w:r>
      <w:r w:rsidRPr="00285B3E">
        <w:rPr>
          <w:rFonts w:ascii="Times New Roman" w:hAnsi="Times New Roman" w:cs="Times New Roman"/>
          <w:sz w:val="24"/>
          <w:szCs w:val="24"/>
        </w:rPr>
        <w:t>H</w:t>
      </w:r>
      <w:r w:rsidRPr="00250AE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85B3E">
        <w:rPr>
          <w:rFonts w:ascii="Times New Roman" w:hAnsi="Times New Roman" w:cs="Times New Roman"/>
          <w:sz w:val="24"/>
          <w:szCs w:val="24"/>
        </w:rPr>
        <w:t>O</w:t>
      </w:r>
      <w:r w:rsidRPr="00250AE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content were detected at 410 nm via spectrophotometer by using of methodology described by </w:t>
      </w:r>
      <w:r w:rsidR="00F3494E">
        <w:rPr>
          <w:rFonts w:ascii="Times New Roman" w:hAnsi="Times New Roman" w:cs="Times New Roman"/>
          <w:sz w:val="24"/>
          <w:szCs w:val="24"/>
        </w:rPr>
        <w:fldChar w:fldCharType="begin"/>
      </w:r>
      <w:r w:rsidR="00150CD5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&lt;EndNote&gt;&lt;Cite&gt;&lt;Author&gt;Velikova&lt;/Author&gt;&lt;Year&gt;2000&lt;/Year&gt;&lt;RecNum&gt;1170&lt;/RecNum&gt;&lt;DisplayText&gt;(Velikova et al., 2000)&lt;/DisplayText&gt;&lt;record&gt;&lt;rec-number&gt;1170&lt;/rec-number&gt;&lt;foreign-keys&gt;&lt;key app="EN" db-id="2z55zp90a0tavlefw27vf9fh2vaxerzea5pw" timestamp="1746381245"&gt;1170&lt;/key&gt;&lt;/foreign-keys&gt;&lt;ref-type name="Journal Article"&gt;17&lt;/ref-type&gt;&lt;contributors&gt;&lt;authors&gt;&lt;author&gt;Velikova, V&lt;/author&gt;&lt;author&gt;Yordanov, I&lt;/author&gt;&lt;author&gt;Edreva, AJPS&lt;/author&gt;&lt;/authors&gt;&lt;/contributors&gt;&lt;titles&gt;&lt;title&gt;Oxidative stress and some antioxidant systems in acid rain-treated bean plants: protective role of exogenous polyamines&lt;/title&gt;&lt;secondary-title&gt;Plant science&lt;/secondary-title&gt;&lt;/titles&gt;&lt;periodical&gt;&lt;full-title&gt;Plant science&lt;/full-title&gt;&lt;/periodical&gt;&lt;pages&gt;59-66&lt;/pages&gt;&lt;volume&gt;151&lt;/volume&gt;&lt;number&gt;1&lt;/number&gt;&lt;dates&gt;&lt;year&gt;2000&lt;/year&gt;&lt;/dates&gt;&lt;isbn&gt;0168-9452&lt;/isbn&gt;&lt;urls&gt;&lt;/urls&gt;&lt;/record&gt;&lt;/Cite&gt;&lt;/EndNote&gt;</w:instrText>
      </w:r>
      <w:r w:rsidR="00F3494E">
        <w:rPr>
          <w:rFonts w:ascii="Times New Roman" w:hAnsi="Times New Roman" w:cs="Times New Roman"/>
          <w:sz w:val="24"/>
          <w:szCs w:val="24"/>
        </w:rPr>
        <w:fldChar w:fldCharType="separate"/>
      </w:r>
      <w:r w:rsidR="00F3494E">
        <w:rPr>
          <w:rFonts w:ascii="Times New Roman" w:hAnsi="Times New Roman" w:cs="Times New Roman"/>
          <w:noProof/>
          <w:sz w:val="24"/>
          <w:szCs w:val="24"/>
        </w:rPr>
        <w:t>(Velikova et al., 2000)</w:t>
      </w:r>
      <w:r w:rsidR="00F3494E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Pr="00285B3E">
        <w:rPr>
          <w:rFonts w:ascii="Times New Roman" w:hAnsi="Times New Roman" w:cs="Times New Roman"/>
          <w:sz w:val="24"/>
          <w:szCs w:val="24"/>
        </w:rPr>
        <w:t>O</w:t>
      </w:r>
      <w:r w:rsidRPr="005327E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50AE9">
        <w:rPr>
          <w:rFonts w:ascii="Times New Roman" w:hAnsi="Times New Roman" w:cs="Times New Roman"/>
          <w:sz w:val="24"/>
          <w:szCs w:val="24"/>
          <w:vertAlign w:val="superscript"/>
        </w:rPr>
        <w:t>•–</w:t>
      </w:r>
      <w:r>
        <w:rPr>
          <w:rFonts w:ascii="Times New Roman" w:hAnsi="Times New Roman" w:cs="Times New Roman"/>
          <w:sz w:val="24"/>
          <w:szCs w:val="24"/>
        </w:rPr>
        <w:t xml:space="preserve"> assay in shoot tissues were estimated by procedure outlined by </w:t>
      </w:r>
      <w:r w:rsidR="00150CD5">
        <w:rPr>
          <w:rFonts w:ascii="Times New Roman" w:hAnsi="Times New Roman" w:cs="Times New Roman"/>
          <w:sz w:val="24"/>
          <w:szCs w:val="24"/>
        </w:rPr>
        <w:fldChar w:fldCharType="begin"/>
      </w:r>
      <w:r w:rsidR="00150CD5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&lt;EndNote&gt;&lt;Cite&gt;&lt;Author&gt;Chen&lt;/Author&gt;&lt;Year&gt;2021&lt;/Year&gt;&lt;RecNum&gt;1171&lt;/RecNum&gt;&lt;DisplayText&gt;(Chen et al., 2021)&lt;/DisplayText&gt;&lt;record&gt;&lt;rec-number&gt;1171&lt;/rec-number&gt;&lt;foreign-keys&gt;&lt;key app="EN" db-id="2z55zp90a0tavlefw27vf9fh2vaxerzea5pw" timestamp="1746381689"&gt;1171&lt;/key&gt;&lt;/foreign-keys&gt;&lt;ref-type name="Journal Article"&gt;17&lt;/ref-type&gt;&lt;contributors&gt;&lt;authors&gt;&lt;author&gt;Chen, Zhao&lt;/author&gt;&lt;author&gt;Niu, Junpeng&lt;/author&gt;&lt;author&gt;Guo, Zhipeng&lt;/author&gt;&lt;author&gt;Sui, Xin&lt;/author&gt;&lt;author&gt;Xu, Nan&lt;/author&gt;&lt;author&gt;Kareem, Hafiz Abdul&lt;/author&gt;&lt;author&gt;Hassan, Mahmood Ul&lt;/author&gt;&lt;author&gt;Yan, Mingke&lt;/author&gt;&lt;author&gt;Zhang, Quan&lt;/author&gt;&lt;author&gt;Cui, Jian&lt;/author&gt;&lt;/authors&gt;&lt;/contributors&gt;&lt;titles&gt;&lt;title&gt;Graphene enhances photosynthesis and the antioxidative defense system and alleviates salinity and alkalinity stresses in alfalfa (Medicago sativa L.) by regulating gene expression&lt;/title&gt;&lt;secondary-title&gt;Environmental Science: Nano&lt;/secondary-title&gt;&lt;/titles&gt;&lt;periodical&gt;&lt;full-title&gt;Environmental Science: Nano&lt;/full-title&gt;&lt;/periodical&gt;&lt;pages&gt;2731-2748&lt;/pages&gt;&lt;volume&gt;8&lt;/volume&gt;&lt;number&gt;9&lt;/number&gt;&lt;dates&gt;&lt;year&gt;2021&lt;/year&gt;&lt;/dates&gt;&lt;urls&gt;&lt;/urls&gt;&lt;/record&gt;&lt;/Cite&gt;&lt;/EndNote&gt;</w:instrText>
      </w:r>
      <w:r w:rsidR="00150CD5">
        <w:rPr>
          <w:rFonts w:ascii="Times New Roman" w:hAnsi="Times New Roman" w:cs="Times New Roman"/>
          <w:sz w:val="24"/>
          <w:szCs w:val="24"/>
        </w:rPr>
        <w:fldChar w:fldCharType="separate"/>
      </w:r>
      <w:r w:rsidR="00150CD5">
        <w:rPr>
          <w:rFonts w:ascii="Times New Roman" w:hAnsi="Times New Roman" w:cs="Times New Roman"/>
          <w:noProof/>
          <w:sz w:val="24"/>
          <w:szCs w:val="24"/>
        </w:rPr>
        <w:t>(Chen et al., 2021)</w:t>
      </w:r>
      <w:r w:rsidR="00150CD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3777A2" w14:textId="77777777" w:rsidR="00AC4D5F" w:rsidRDefault="00AC4D5F" w:rsidP="00AC4D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Furthermore, for EL quantification harvested fully m</w:t>
      </w:r>
      <w:r w:rsidRPr="000659CE">
        <w:rPr>
          <w:rFonts w:ascii="Times New Roman" w:hAnsi="Times New Roman" w:cs="Times New Roman"/>
          <w:sz w:val="24"/>
          <w:szCs w:val="24"/>
        </w:rPr>
        <w:t xml:space="preserve">ature leaves from the </w:t>
      </w:r>
      <w:r>
        <w:rPr>
          <w:rFonts w:ascii="Times New Roman" w:hAnsi="Times New Roman" w:cs="Times New Roman"/>
          <w:sz w:val="24"/>
          <w:szCs w:val="24"/>
        </w:rPr>
        <w:t>top</w:t>
      </w:r>
      <w:r w:rsidRPr="000659CE">
        <w:rPr>
          <w:rFonts w:ascii="Times New Roman" w:hAnsi="Times New Roman" w:cs="Times New Roman"/>
          <w:sz w:val="24"/>
          <w:szCs w:val="24"/>
        </w:rPr>
        <w:t xml:space="preserve"> of the plant and cut into 5 mm segments. The leaf samples were placed in test tubes containing 8 mL of distilled water and maintained at 32 °C for 120 minutes in a water bath. The specimens underwent autoclaving for 20 minutes at 121 °C and were thereafter cooled to room temperature prior to obtaining the final measurements. The measurement of electrolyte leakage was conducted as follows:</w:t>
      </w:r>
    </w:p>
    <w:p w14:paraId="65F54549" w14:textId="77777777" w:rsidR="00AC4D5F" w:rsidRPr="00CE1DE2" w:rsidRDefault="00AC4D5F" w:rsidP="00AC4D5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1DE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CE1DE2">
        <w:rPr>
          <w:rFonts w:ascii="Times New Roman" w:hAnsi="Times New Roman" w:cs="Times New Roman"/>
          <w:sz w:val="24"/>
          <w:szCs w:val="24"/>
        </w:rPr>
        <w:t xml:space="preserve"> = EC1/EC2x</w:t>
      </w:r>
    </w:p>
    <w:p w14:paraId="513DD2E1" w14:textId="2FCE41EE" w:rsidR="003A6CC3" w:rsidRPr="00C649D7" w:rsidRDefault="00AC4D5F" w:rsidP="00C649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CE1DE2">
        <w:rPr>
          <w:rFonts w:ascii="Times New Roman" w:hAnsi="Times New Roman" w:cs="Times New Roman"/>
          <w:sz w:val="24"/>
          <w:szCs w:val="24"/>
        </w:rPr>
        <w:t xml:space="preserve">here EC1 and EC2 </w:t>
      </w:r>
      <w:r>
        <w:rPr>
          <w:rFonts w:ascii="Times New Roman" w:hAnsi="Times New Roman" w:cs="Times New Roman"/>
          <w:sz w:val="24"/>
          <w:szCs w:val="24"/>
        </w:rPr>
        <w:t xml:space="preserve">are the </w:t>
      </w:r>
      <w:r w:rsidRPr="00CE1DE2">
        <w:rPr>
          <w:rFonts w:ascii="Times New Roman" w:hAnsi="Times New Roman" w:cs="Times New Roman"/>
          <w:sz w:val="24"/>
          <w:szCs w:val="24"/>
        </w:rPr>
        <w:t>electric</w:t>
      </w:r>
      <w:r>
        <w:rPr>
          <w:rFonts w:ascii="Times New Roman" w:hAnsi="Times New Roman" w:cs="Times New Roman"/>
          <w:sz w:val="24"/>
          <w:szCs w:val="24"/>
        </w:rPr>
        <w:t>al</w:t>
      </w:r>
      <w:r w:rsidRPr="00CE1DE2">
        <w:rPr>
          <w:rFonts w:ascii="Times New Roman" w:hAnsi="Times New Roman" w:cs="Times New Roman"/>
          <w:sz w:val="24"/>
          <w:szCs w:val="24"/>
        </w:rPr>
        <w:t xml:space="preserve"> conductivit</w:t>
      </w:r>
      <w:r>
        <w:rPr>
          <w:rFonts w:ascii="Times New Roman" w:hAnsi="Times New Roman" w:cs="Times New Roman"/>
          <w:sz w:val="24"/>
          <w:szCs w:val="24"/>
        </w:rPr>
        <w:t>ies</w:t>
      </w:r>
      <w:r w:rsidRPr="00CE1DE2">
        <w:rPr>
          <w:rFonts w:ascii="Times New Roman" w:hAnsi="Times New Roman" w:cs="Times New Roman"/>
          <w:sz w:val="24"/>
          <w:szCs w:val="24"/>
        </w:rPr>
        <w:t xml:space="preserve"> at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CE1DE2">
        <w:rPr>
          <w:rFonts w:ascii="Times New Roman" w:hAnsi="Times New Roman" w:cs="Times New Roman"/>
          <w:sz w:val="24"/>
          <w:szCs w:val="24"/>
        </w:rPr>
        <w:t>initial and final stage</w:t>
      </w:r>
      <w:r>
        <w:rPr>
          <w:rFonts w:ascii="Times New Roman" w:hAnsi="Times New Roman" w:cs="Times New Roman"/>
          <w:sz w:val="24"/>
          <w:szCs w:val="24"/>
        </w:rPr>
        <w:t>s,</w:t>
      </w:r>
      <w:r w:rsidRPr="00CE1DE2">
        <w:rPr>
          <w:rFonts w:ascii="Times New Roman" w:hAnsi="Times New Roman" w:cs="Times New Roman"/>
          <w:sz w:val="24"/>
          <w:szCs w:val="24"/>
        </w:rPr>
        <w:t xml:space="preserve"> respectively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37D1">
        <w:rPr>
          <w:rFonts w:ascii="Times New Roman" w:hAnsi="Times New Roman" w:cs="Times New Roman"/>
          <w:sz w:val="24"/>
          <w:szCs w:val="24"/>
        </w:rPr>
        <w:fldChar w:fldCharType="begin"/>
      </w:r>
      <w:r w:rsidR="004137D1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&lt;EndNote&gt;&lt;Cite&gt;&lt;Author&gt;Dionisio-Sese&lt;/Author&gt;&lt;Year&gt;1998&lt;/Year&gt;&lt;RecNum&gt;1165&lt;/RecNum&gt;&lt;DisplayText&gt;(Dionisio-Sese and Tobita, 1998)&lt;/DisplayText&gt;&lt;record&gt;&lt;rec-number&gt;1165&lt;/rec-number&gt;&lt;foreign-keys&gt;&lt;key app="EN" db-id="2z55zp90a0tavlefw27vf9fh2vaxerzea5pw" timestamp="1746380631"&gt;1165&lt;/key&gt;&lt;/foreign-keys&gt;&lt;ref-type name="Journal Article"&gt;17&lt;/ref-type&gt;&lt;contributors&gt;&lt;authors&gt;&lt;author&gt;Dionisio-Sese, Maribel L&lt;/author&gt;&lt;author&gt;Tobita, Satoshi&lt;/author&gt;&lt;/authors&gt;&lt;/contributors&gt;&lt;titles&gt;&lt;title&gt;Antioxidant responses of rice seedlings to salinity stress&lt;/title&gt;&lt;secondary-title&gt;Plant science&lt;/secondary-title&gt;&lt;/titles&gt;&lt;periodical&gt;&lt;full-title&gt;Plant science&lt;/full-title&gt;&lt;/periodical&gt;&lt;pages&gt;1-9&lt;/pages&gt;&lt;volume&gt;135&lt;/volume&gt;&lt;number&gt;1&lt;/number&gt;&lt;dates&gt;&lt;year&gt;1998&lt;/year&gt;&lt;/dates&gt;&lt;isbn&gt;0168-9452&lt;/isbn&gt;&lt;urls&gt;&lt;/urls&gt;&lt;/record&gt;&lt;/Cite&gt;&lt;/EndNote&gt;</w:instrText>
      </w:r>
      <w:r w:rsidR="004137D1">
        <w:rPr>
          <w:rFonts w:ascii="Times New Roman" w:hAnsi="Times New Roman" w:cs="Times New Roman"/>
          <w:sz w:val="24"/>
          <w:szCs w:val="24"/>
        </w:rPr>
        <w:fldChar w:fldCharType="separate"/>
      </w:r>
      <w:r w:rsidR="004137D1">
        <w:rPr>
          <w:rFonts w:ascii="Times New Roman" w:hAnsi="Times New Roman" w:cs="Times New Roman"/>
          <w:noProof/>
          <w:sz w:val="24"/>
          <w:szCs w:val="24"/>
        </w:rPr>
        <w:t>(Dionisio-Sese and Tobita, 1998)</w:t>
      </w:r>
      <w:r w:rsidR="004137D1">
        <w:rPr>
          <w:rFonts w:ascii="Times New Roman" w:hAnsi="Times New Roman" w:cs="Times New Roman"/>
          <w:sz w:val="24"/>
          <w:szCs w:val="24"/>
        </w:rPr>
        <w:fldChar w:fldCharType="end"/>
      </w:r>
      <w:r w:rsidRPr="00CE1DE2">
        <w:rPr>
          <w:rFonts w:ascii="Times New Roman" w:hAnsi="Times New Roman" w:cs="Times New Roman"/>
          <w:sz w:val="24"/>
          <w:szCs w:val="24"/>
        </w:rPr>
        <w:t>.</w:t>
      </w:r>
    </w:p>
    <w:p w14:paraId="6F4CEE93" w14:textId="06B44783" w:rsidR="003A6CC3" w:rsidRDefault="003A6CC3" w:rsidP="003A6CC3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2"/>
        <w:tblpPr w:leftFromText="180" w:rightFromText="180" w:vertAnchor="page" w:horzAnchor="margin" w:tblpY="9289"/>
        <w:tblW w:w="8934" w:type="dxa"/>
        <w:tblLook w:val="0620" w:firstRow="1" w:lastRow="0" w:firstColumn="0" w:lastColumn="0" w:noHBand="1" w:noVBand="1"/>
      </w:tblPr>
      <w:tblGrid>
        <w:gridCol w:w="3814"/>
        <w:gridCol w:w="2560"/>
        <w:gridCol w:w="2560"/>
      </w:tblGrid>
      <w:tr w:rsidR="00C649D7" w:rsidRPr="00B865C3" w14:paraId="49F82CB7" w14:textId="77777777" w:rsidTr="003E3F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4"/>
        </w:trPr>
        <w:tc>
          <w:tcPr>
            <w:tcW w:w="3814" w:type="dxa"/>
            <w:tcBorders>
              <w:top w:val="single" w:sz="4" w:space="0" w:color="000000"/>
              <w:bottom w:val="single" w:sz="4" w:space="0" w:color="000000"/>
            </w:tcBorders>
          </w:tcPr>
          <w:p w14:paraId="7A6AEC4C" w14:textId="77777777" w:rsidR="00C649D7" w:rsidRPr="00B865C3" w:rsidRDefault="00C649D7" w:rsidP="003E3FD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Items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</w:tcBorders>
          </w:tcPr>
          <w:p w14:paraId="72F80E47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Units</w:t>
            </w:r>
          </w:p>
        </w:tc>
        <w:tc>
          <w:tcPr>
            <w:tcW w:w="2560" w:type="dxa"/>
            <w:tcBorders>
              <w:top w:val="single" w:sz="4" w:space="0" w:color="000000"/>
              <w:bottom w:val="single" w:sz="4" w:space="0" w:color="000000"/>
            </w:tcBorders>
          </w:tcPr>
          <w:p w14:paraId="31489E93" w14:textId="77777777" w:rsidR="00C649D7" w:rsidRPr="00B865C3" w:rsidRDefault="00C649D7" w:rsidP="003E3FD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Soil</w:t>
            </w:r>
          </w:p>
        </w:tc>
      </w:tr>
      <w:tr w:rsidR="00C649D7" w:rsidRPr="00B865C3" w14:paraId="150699B2" w14:textId="77777777" w:rsidTr="003E3FD4">
        <w:trPr>
          <w:trHeight w:val="404"/>
        </w:trPr>
        <w:tc>
          <w:tcPr>
            <w:tcW w:w="3814" w:type="dxa"/>
            <w:tcBorders>
              <w:top w:val="single" w:sz="4" w:space="0" w:color="000000"/>
            </w:tcBorders>
          </w:tcPr>
          <w:p w14:paraId="50D854FA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Soil texture</w:t>
            </w:r>
          </w:p>
        </w:tc>
        <w:tc>
          <w:tcPr>
            <w:tcW w:w="2560" w:type="dxa"/>
            <w:tcBorders>
              <w:top w:val="single" w:sz="4" w:space="0" w:color="000000"/>
            </w:tcBorders>
          </w:tcPr>
          <w:p w14:paraId="1640D543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2560" w:type="dxa"/>
            <w:tcBorders>
              <w:top w:val="single" w:sz="4" w:space="0" w:color="000000"/>
            </w:tcBorders>
          </w:tcPr>
          <w:p w14:paraId="50422808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Silt clay loam</w:t>
            </w:r>
          </w:p>
        </w:tc>
      </w:tr>
      <w:tr w:rsidR="00C649D7" w:rsidRPr="00B865C3" w14:paraId="6CDF2DA7" w14:textId="77777777" w:rsidTr="003E3FD4">
        <w:trPr>
          <w:trHeight w:val="404"/>
        </w:trPr>
        <w:tc>
          <w:tcPr>
            <w:tcW w:w="3814" w:type="dxa"/>
          </w:tcPr>
          <w:p w14:paraId="3942EC86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 xml:space="preserve">Sand </w:t>
            </w:r>
          </w:p>
        </w:tc>
        <w:tc>
          <w:tcPr>
            <w:tcW w:w="2560" w:type="dxa"/>
          </w:tcPr>
          <w:p w14:paraId="5778A69F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4A9D08B6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</w:tcPr>
          <w:p w14:paraId="05641DFD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32.25</w:t>
            </w:r>
          </w:p>
        </w:tc>
      </w:tr>
      <w:tr w:rsidR="00C649D7" w:rsidRPr="00B865C3" w14:paraId="347E9C87" w14:textId="77777777" w:rsidTr="003E3FD4">
        <w:trPr>
          <w:trHeight w:val="404"/>
        </w:trPr>
        <w:tc>
          <w:tcPr>
            <w:tcW w:w="3814" w:type="dxa"/>
          </w:tcPr>
          <w:p w14:paraId="48E74918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Silt %</w:t>
            </w:r>
          </w:p>
        </w:tc>
        <w:tc>
          <w:tcPr>
            <w:tcW w:w="2560" w:type="dxa"/>
          </w:tcPr>
          <w:p w14:paraId="6BEBE712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540C9712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</w:tcPr>
          <w:p w14:paraId="020C7F5C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36.60</w:t>
            </w:r>
          </w:p>
        </w:tc>
      </w:tr>
      <w:tr w:rsidR="00C649D7" w:rsidRPr="00B865C3" w14:paraId="312A9A28" w14:textId="77777777" w:rsidTr="003E3FD4">
        <w:trPr>
          <w:trHeight w:val="404"/>
        </w:trPr>
        <w:tc>
          <w:tcPr>
            <w:tcW w:w="3814" w:type="dxa"/>
          </w:tcPr>
          <w:p w14:paraId="7847B20C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Clay %</w:t>
            </w:r>
          </w:p>
        </w:tc>
        <w:tc>
          <w:tcPr>
            <w:tcW w:w="2560" w:type="dxa"/>
          </w:tcPr>
          <w:p w14:paraId="71866061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4B2C6A57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</w:tcPr>
          <w:p w14:paraId="01F86440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31.15</w:t>
            </w:r>
          </w:p>
        </w:tc>
      </w:tr>
      <w:tr w:rsidR="00C649D7" w:rsidRPr="00B865C3" w14:paraId="385A657A" w14:textId="77777777" w:rsidTr="003E3FD4">
        <w:trPr>
          <w:trHeight w:val="404"/>
        </w:trPr>
        <w:tc>
          <w:tcPr>
            <w:tcW w:w="3814" w:type="dxa"/>
          </w:tcPr>
          <w:p w14:paraId="4A68BF22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2560" w:type="dxa"/>
          </w:tcPr>
          <w:p w14:paraId="2F795A96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2560" w:type="dxa"/>
          </w:tcPr>
          <w:p w14:paraId="5D950129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</w:tr>
      <w:tr w:rsidR="00C649D7" w:rsidRPr="00B865C3" w14:paraId="50321506" w14:textId="77777777" w:rsidTr="003E3FD4">
        <w:trPr>
          <w:trHeight w:val="404"/>
        </w:trPr>
        <w:tc>
          <w:tcPr>
            <w:tcW w:w="3814" w:type="dxa"/>
          </w:tcPr>
          <w:p w14:paraId="7EF3BC27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 xml:space="preserve">Electrical conductivity </w:t>
            </w:r>
          </w:p>
        </w:tc>
        <w:tc>
          <w:tcPr>
            <w:tcW w:w="2560" w:type="dxa"/>
          </w:tcPr>
          <w:p w14:paraId="67862544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  <w:proofErr w:type="spellEnd"/>
            <w:r w:rsidRPr="00B865C3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 w:rsidRPr="00B865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−1</w:t>
            </w:r>
          </w:p>
        </w:tc>
        <w:tc>
          <w:tcPr>
            <w:tcW w:w="2560" w:type="dxa"/>
          </w:tcPr>
          <w:p w14:paraId="2050A0B5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</w:tr>
      <w:tr w:rsidR="00C649D7" w:rsidRPr="00B865C3" w14:paraId="6C340A48" w14:textId="77777777" w:rsidTr="003E3FD4">
        <w:trPr>
          <w:trHeight w:val="404"/>
        </w:trPr>
        <w:tc>
          <w:tcPr>
            <w:tcW w:w="3814" w:type="dxa"/>
          </w:tcPr>
          <w:p w14:paraId="2C5D55C8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 xml:space="preserve">Cation exchange capacity </w:t>
            </w:r>
          </w:p>
        </w:tc>
        <w:tc>
          <w:tcPr>
            <w:tcW w:w="2560" w:type="dxa"/>
          </w:tcPr>
          <w:p w14:paraId="13B0A1E4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cmol</w:t>
            </w:r>
            <w:proofErr w:type="spellEnd"/>
            <w:r w:rsidRPr="00B865C3">
              <w:rPr>
                <w:rFonts w:ascii="Times New Roman" w:hAnsi="Times New Roman" w:cs="Times New Roman"/>
                <w:sz w:val="24"/>
                <w:szCs w:val="24"/>
              </w:rPr>
              <w:t xml:space="preserve"> kg</w:t>
            </w:r>
            <w:r w:rsidRPr="00B865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–1</w:t>
            </w:r>
          </w:p>
        </w:tc>
        <w:tc>
          <w:tcPr>
            <w:tcW w:w="2560" w:type="dxa"/>
          </w:tcPr>
          <w:p w14:paraId="7A3F5F32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13.57</w:t>
            </w:r>
          </w:p>
        </w:tc>
      </w:tr>
      <w:tr w:rsidR="00C649D7" w:rsidRPr="00B865C3" w14:paraId="17B965A6" w14:textId="77777777" w:rsidTr="003E3FD4">
        <w:trPr>
          <w:trHeight w:val="404"/>
        </w:trPr>
        <w:tc>
          <w:tcPr>
            <w:tcW w:w="3814" w:type="dxa"/>
          </w:tcPr>
          <w:p w14:paraId="237B5595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 xml:space="preserve">Organic matter </w:t>
            </w:r>
          </w:p>
        </w:tc>
        <w:tc>
          <w:tcPr>
            <w:tcW w:w="2560" w:type="dxa"/>
          </w:tcPr>
          <w:p w14:paraId="4D8EFE7C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60" w:type="dxa"/>
          </w:tcPr>
          <w:p w14:paraId="01C5AE39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</w:tr>
      <w:tr w:rsidR="00C649D7" w:rsidRPr="00B865C3" w14:paraId="5A68D8EB" w14:textId="77777777" w:rsidTr="003E3FD4">
        <w:trPr>
          <w:trHeight w:val="404"/>
        </w:trPr>
        <w:tc>
          <w:tcPr>
            <w:tcW w:w="3814" w:type="dxa"/>
          </w:tcPr>
          <w:p w14:paraId="3E7D59D7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 xml:space="preserve">Total N </w:t>
            </w:r>
          </w:p>
        </w:tc>
        <w:tc>
          <w:tcPr>
            <w:tcW w:w="2560" w:type="dxa"/>
          </w:tcPr>
          <w:p w14:paraId="69EC50FD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g kg</w:t>
            </w:r>
            <w:r w:rsidRPr="00B865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560" w:type="dxa"/>
          </w:tcPr>
          <w:p w14:paraId="29EBE97B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</w:tr>
      <w:tr w:rsidR="00C649D7" w:rsidRPr="00B865C3" w14:paraId="0C87C8A0" w14:textId="77777777" w:rsidTr="003E3FD4">
        <w:trPr>
          <w:trHeight w:val="404"/>
        </w:trPr>
        <w:tc>
          <w:tcPr>
            <w:tcW w:w="3814" w:type="dxa"/>
          </w:tcPr>
          <w:p w14:paraId="035682EC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 xml:space="preserve">Available P </w:t>
            </w:r>
          </w:p>
        </w:tc>
        <w:tc>
          <w:tcPr>
            <w:tcW w:w="2560" w:type="dxa"/>
          </w:tcPr>
          <w:p w14:paraId="28E93927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mg kg</w:t>
            </w:r>
            <w:r w:rsidRPr="00B865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560" w:type="dxa"/>
          </w:tcPr>
          <w:p w14:paraId="16426776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12.29</w:t>
            </w:r>
          </w:p>
        </w:tc>
      </w:tr>
      <w:tr w:rsidR="00C649D7" w:rsidRPr="00B865C3" w14:paraId="743C5B4B" w14:textId="77777777" w:rsidTr="003E3FD4">
        <w:trPr>
          <w:trHeight w:val="404"/>
        </w:trPr>
        <w:tc>
          <w:tcPr>
            <w:tcW w:w="3814" w:type="dxa"/>
          </w:tcPr>
          <w:p w14:paraId="502862CA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 xml:space="preserve">Available K </w:t>
            </w:r>
          </w:p>
        </w:tc>
        <w:tc>
          <w:tcPr>
            <w:tcW w:w="2560" w:type="dxa"/>
          </w:tcPr>
          <w:p w14:paraId="3862AFDB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mg kg</w:t>
            </w:r>
            <w:r w:rsidRPr="00B865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560" w:type="dxa"/>
          </w:tcPr>
          <w:p w14:paraId="3D01418C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147.9</w:t>
            </w:r>
          </w:p>
        </w:tc>
      </w:tr>
      <w:tr w:rsidR="00C649D7" w:rsidRPr="00B865C3" w14:paraId="5FB70565" w14:textId="77777777" w:rsidTr="003E3FD4">
        <w:trPr>
          <w:trHeight w:val="404"/>
        </w:trPr>
        <w:tc>
          <w:tcPr>
            <w:tcW w:w="3814" w:type="dxa"/>
          </w:tcPr>
          <w:p w14:paraId="4A87385E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 xml:space="preserve">Total Ca </w:t>
            </w:r>
          </w:p>
        </w:tc>
        <w:tc>
          <w:tcPr>
            <w:tcW w:w="2560" w:type="dxa"/>
          </w:tcPr>
          <w:p w14:paraId="408A4C2F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mg kg</w:t>
            </w:r>
            <w:r w:rsidRPr="00B865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560" w:type="dxa"/>
          </w:tcPr>
          <w:p w14:paraId="14997F58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122.36</w:t>
            </w:r>
          </w:p>
        </w:tc>
      </w:tr>
      <w:tr w:rsidR="00C649D7" w:rsidRPr="00B865C3" w14:paraId="42CCA89A" w14:textId="77777777" w:rsidTr="003E3FD4">
        <w:trPr>
          <w:trHeight w:val="404"/>
        </w:trPr>
        <w:tc>
          <w:tcPr>
            <w:tcW w:w="3814" w:type="dxa"/>
          </w:tcPr>
          <w:p w14:paraId="0B56D6E6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 xml:space="preserve">Total Cd </w:t>
            </w:r>
          </w:p>
        </w:tc>
        <w:tc>
          <w:tcPr>
            <w:tcW w:w="2560" w:type="dxa"/>
          </w:tcPr>
          <w:p w14:paraId="1D7EFBEA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mg kg</w:t>
            </w:r>
            <w:r w:rsidRPr="00B865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2560" w:type="dxa"/>
          </w:tcPr>
          <w:p w14:paraId="2B9308FD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5C3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</w:tr>
      <w:tr w:rsidR="00C649D7" w:rsidRPr="00B865C3" w14:paraId="442370F3" w14:textId="77777777" w:rsidTr="003E3FD4">
        <w:trPr>
          <w:trHeight w:val="42"/>
        </w:trPr>
        <w:tc>
          <w:tcPr>
            <w:tcW w:w="3814" w:type="dxa"/>
            <w:tcBorders>
              <w:bottom w:val="single" w:sz="4" w:space="0" w:color="000000"/>
            </w:tcBorders>
          </w:tcPr>
          <w:p w14:paraId="406CFBDB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4" w:space="0" w:color="000000"/>
            </w:tcBorders>
          </w:tcPr>
          <w:p w14:paraId="3006C738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4" w:space="0" w:color="000000"/>
            </w:tcBorders>
          </w:tcPr>
          <w:p w14:paraId="0F156DD6" w14:textId="77777777" w:rsidR="00C649D7" w:rsidRPr="00B865C3" w:rsidRDefault="00C649D7" w:rsidP="003E3F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8D2216" w14:textId="77777777" w:rsidR="003A6CC3" w:rsidRDefault="003A6CC3" w:rsidP="00C649D7">
      <w:pPr>
        <w:pStyle w:val="EndNoteBibliography"/>
      </w:pPr>
    </w:p>
    <w:p w14:paraId="5AB6DCF2" w14:textId="77777777" w:rsidR="003A6CC3" w:rsidRDefault="003A6CC3" w:rsidP="00014C36">
      <w:pPr>
        <w:pStyle w:val="EndNoteBibliography"/>
      </w:pPr>
    </w:p>
    <w:p w14:paraId="26AF675F" w14:textId="77777777" w:rsidR="003A6CC3" w:rsidRDefault="003A6CC3" w:rsidP="004A1A6F">
      <w:pPr>
        <w:pStyle w:val="EndNoteBibliography"/>
        <w:ind w:left="720" w:hanging="720"/>
      </w:pPr>
    </w:p>
    <w:p w14:paraId="719955F2" w14:textId="55306254" w:rsidR="003A6CC3" w:rsidRDefault="00C649D7" w:rsidP="00C649D7">
      <w:pPr>
        <w:pStyle w:val="EndNoteBibliography"/>
        <w:ind w:left="720" w:hanging="720"/>
      </w:pPr>
      <w:r w:rsidRPr="00FD5B5C">
        <w:rPr>
          <w:rFonts w:ascii="Times New Roman" w:eastAsia="SimSun" w:hAnsi="Times New Roman" w:cs="Times New Roman"/>
          <w:b/>
          <w:bCs/>
          <w:kern w:val="0"/>
          <w:sz w:val="24"/>
          <w:szCs w:val="24"/>
          <w:lang w:bidi="ar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Basic physiochemical properties of soil</w:t>
      </w:r>
    </w:p>
    <w:p w14:paraId="1A1A39C2" w14:textId="77777777" w:rsidR="003A6CC3" w:rsidRDefault="003A6CC3" w:rsidP="003A6CC3">
      <w:pPr>
        <w:pStyle w:val="EndNoteBibliography"/>
      </w:pPr>
    </w:p>
    <w:p w14:paraId="32FF7A73" w14:textId="77777777" w:rsidR="003A6CC3" w:rsidRPr="00F3494E" w:rsidRDefault="003A6CC3" w:rsidP="003A6CC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448E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0EB7CF46" w14:textId="15BB5A26" w:rsidR="003A6CC3" w:rsidRDefault="003A6CC3" w:rsidP="004A1A6F">
      <w:pPr>
        <w:pStyle w:val="EndNoteBibliography"/>
        <w:ind w:left="720" w:hanging="720"/>
      </w:pPr>
    </w:p>
    <w:p w14:paraId="4D96CA5C" w14:textId="6138A575" w:rsidR="001E774A" w:rsidRPr="00014C36" w:rsidRDefault="004137D1" w:rsidP="00014C36">
      <w:pPr>
        <w:pStyle w:val="EndNoteBibliography"/>
        <w:ind w:left="720" w:hanging="720"/>
        <w:jc w:val="both"/>
        <w:rPr>
          <w:rFonts w:asciiTheme="majorBidi" w:hAnsiTheme="majorBidi" w:cstheme="majorBidi"/>
          <w:i/>
        </w:rPr>
      </w:pPr>
      <w:r w:rsidRPr="00014C36">
        <w:rPr>
          <w:rFonts w:asciiTheme="majorBidi" w:hAnsiTheme="majorBidi" w:cstheme="majorBidi"/>
        </w:rPr>
        <w:fldChar w:fldCharType="begin"/>
      </w:r>
      <w:r w:rsidRPr="00014C36">
        <w:rPr>
          <w:rFonts w:asciiTheme="majorBidi" w:hAnsiTheme="majorBidi" w:cstheme="majorBidi"/>
        </w:rPr>
        <w:instrText xml:space="preserve"> ADDIN EN.REFLIST </w:instrText>
      </w:r>
      <w:r w:rsidRPr="00014C36">
        <w:rPr>
          <w:rFonts w:asciiTheme="majorBidi" w:hAnsiTheme="majorBidi" w:cstheme="majorBidi"/>
        </w:rPr>
        <w:fldChar w:fldCharType="separate"/>
      </w:r>
      <w:r w:rsidR="001E774A" w:rsidRPr="00014C36">
        <w:rPr>
          <w:rFonts w:asciiTheme="majorBidi" w:hAnsiTheme="majorBidi" w:cstheme="majorBidi"/>
        </w:rPr>
        <w:t>Ali, M. A., Fahad, S., Haider, I., Ahmed, N., Ahmad, S., Hussain, S., and Arshad, M. (2019). Oxidative stress and antioxidant defense in plants e</w:t>
      </w:r>
      <w:bookmarkStart w:id="0" w:name="_GoBack"/>
      <w:bookmarkEnd w:id="0"/>
      <w:r w:rsidR="001E774A" w:rsidRPr="00014C36">
        <w:rPr>
          <w:rFonts w:asciiTheme="majorBidi" w:hAnsiTheme="majorBidi" w:cstheme="majorBidi"/>
        </w:rPr>
        <w:t xml:space="preserve">xposed to metal/metalloid toxicity. </w:t>
      </w:r>
      <w:r w:rsidR="001E774A" w:rsidRPr="00014C36">
        <w:rPr>
          <w:rFonts w:asciiTheme="majorBidi" w:hAnsiTheme="majorBidi" w:cstheme="majorBidi"/>
          <w:i/>
        </w:rPr>
        <w:t>Reactive oxygen, nitrogensulfur species in plants: production, metabolism, signalingdefense mechanisms</w:t>
      </w:r>
      <w:r w:rsidR="001E774A" w:rsidRPr="00014C36">
        <w:rPr>
          <w:rFonts w:asciiTheme="majorBidi" w:hAnsiTheme="majorBidi" w:cstheme="majorBidi"/>
        </w:rPr>
        <w:t>, 353-370.</w:t>
      </w:r>
    </w:p>
    <w:p w14:paraId="3D637B85" w14:textId="77777777" w:rsidR="001E774A" w:rsidRPr="00014C36" w:rsidRDefault="001E774A" w:rsidP="00014C3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014C36">
        <w:rPr>
          <w:rFonts w:asciiTheme="majorBidi" w:hAnsiTheme="majorBidi" w:cstheme="majorBidi"/>
        </w:rPr>
        <w:t>Chen, Z., Niu, J., Guo, Z., Sui, X., Xu, N., Kareem, H. A., Hassan, M. U., Yan, M., Zhang, Q., and Cui, J. (2021). Graphene enhances photosynthesis and the antioxidative defense system and alleviates salinity and alkalinity stresses in alfalfa (</w:t>
      </w:r>
      <w:r w:rsidRPr="00014C36">
        <w:rPr>
          <w:rFonts w:asciiTheme="majorBidi" w:hAnsiTheme="majorBidi" w:cstheme="majorBidi"/>
          <w:i/>
          <w:iCs/>
        </w:rPr>
        <w:t>Medicago sativa</w:t>
      </w:r>
      <w:r w:rsidRPr="00014C36">
        <w:rPr>
          <w:rFonts w:asciiTheme="majorBidi" w:hAnsiTheme="majorBidi" w:cstheme="majorBidi"/>
        </w:rPr>
        <w:t xml:space="preserve"> L.) by regulating gene expression. </w:t>
      </w:r>
      <w:r w:rsidRPr="00014C36">
        <w:rPr>
          <w:rFonts w:asciiTheme="majorBidi" w:hAnsiTheme="majorBidi" w:cstheme="majorBidi"/>
          <w:i/>
        </w:rPr>
        <w:t>Environmental Science: Nano</w:t>
      </w:r>
      <w:r w:rsidRPr="00014C36">
        <w:rPr>
          <w:rFonts w:asciiTheme="majorBidi" w:hAnsiTheme="majorBidi" w:cstheme="majorBidi"/>
        </w:rPr>
        <w:t xml:space="preserve"> </w:t>
      </w:r>
      <w:r w:rsidRPr="00014C36">
        <w:rPr>
          <w:rFonts w:asciiTheme="majorBidi" w:hAnsiTheme="majorBidi" w:cstheme="majorBidi"/>
          <w:b/>
        </w:rPr>
        <w:t>8</w:t>
      </w:r>
      <w:r w:rsidRPr="00014C36">
        <w:rPr>
          <w:rFonts w:asciiTheme="majorBidi" w:hAnsiTheme="majorBidi" w:cstheme="majorBidi"/>
        </w:rPr>
        <w:t>, 2731-2748.</w:t>
      </w:r>
    </w:p>
    <w:p w14:paraId="3FBB1281" w14:textId="77777777" w:rsidR="001E774A" w:rsidRPr="00014C36" w:rsidRDefault="001E774A" w:rsidP="00014C3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014C36">
        <w:rPr>
          <w:rFonts w:asciiTheme="majorBidi" w:hAnsiTheme="majorBidi" w:cstheme="majorBidi"/>
        </w:rPr>
        <w:t xml:space="preserve">Dionisio-Sese, M. L., and Tobita, S. (1998). Antioxidant responses of rice seedlings to salinity stress. </w:t>
      </w:r>
      <w:r w:rsidRPr="00014C36">
        <w:rPr>
          <w:rFonts w:asciiTheme="majorBidi" w:hAnsiTheme="majorBidi" w:cstheme="majorBidi"/>
          <w:i/>
        </w:rPr>
        <w:t>Plant science</w:t>
      </w:r>
      <w:r w:rsidRPr="00014C36">
        <w:rPr>
          <w:rFonts w:asciiTheme="majorBidi" w:hAnsiTheme="majorBidi" w:cstheme="majorBidi"/>
        </w:rPr>
        <w:t xml:space="preserve"> </w:t>
      </w:r>
      <w:r w:rsidRPr="00014C36">
        <w:rPr>
          <w:rFonts w:asciiTheme="majorBidi" w:hAnsiTheme="majorBidi" w:cstheme="majorBidi"/>
          <w:b/>
        </w:rPr>
        <w:t>135</w:t>
      </w:r>
      <w:r w:rsidRPr="00014C36">
        <w:rPr>
          <w:rFonts w:asciiTheme="majorBidi" w:hAnsiTheme="majorBidi" w:cstheme="majorBidi"/>
        </w:rPr>
        <w:t>, 1-9.</w:t>
      </w:r>
    </w:p>
    <w:p w14:paraId="3F0D5DD5" w14:textId="77777777" w:rsidR="001E774A" w:rsidRPr="00014C36" w:rsidRDefault="001E774A" w:rsidP="00014C3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014C36">
        <w:rPr>
          <w:rFonts w:asciiTheme="majorBidi" w:hAnsiTheme="majorBidi" w:cstheme="majorBidi"/>
        </w:rPr>
        <w:t xml:space="preserve">Genty, B., Briantais, J.-M., and Baker, N. R. (1989). The relationship between the quantum yield of photosynthetic electron transport and quenching of chlorophyll fluorescence. </w:t>
      </w:r>
      <w:r w:rsidRPr="00014C36">
        <w:rPr>
          <w:rFonts w:asciiTheme="majorBidi" w:hAnsiTheme="majorBidi" w:cstheme="majorBidi"/>
          <w:i/>
        </w:rPr>
        <w:t>Biochimica et Biophysica Acta</w:t>
      </w:r>
      <w:r w:rsidRPr="00014C36">
        <w:rPr>
          <w:rFonts w:asciiTheme="majorBidi" w:hAnsiTheme="majorBidi" w:cstheme="majorBidi"/>
        </w:rPr>
        <w:t xml:space="preserve"> </w:t>
      </w:r>
      <w:r w:rsidRPr="00014C36">
        <w:rPr>
          <w:rFonts w:asciiTheme="majorBidi" w:hAnsiTheme="majorBidi" w:cstheme="majorBidi"/>
          <w:b/>
        </w:rPr>
        <w:t>990</w:t>
      </w:r>
      <w:r w:rsidRPr="00014C36">
        <w:rPr>
          <w:rFonts w:asciiTheme="majorBidi" w:hAnsiTheme="majorBidi" w:cstheme="majorBidi"/>
        </w:rPr>
        <w:t>, 87-92.</w:t>
      </w:r>
    </w:p>
    <w:p w14:paraId="7C6F4FFF" w14:textId="77777777" w:rsidR="001E774A" w:rsidRPr="00014C36" w:rsidRDefault="001E774A" w:rsidP="00014C3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</w:rPr>
      </w:pPr>
      <w:r w:rsidRPr="00014C36">
        <w:rPr>
          <w:rFonts w:asciiTheme="majorBidi" w:hAnsiTheme="majorBidi" w:cstheme="majorBidi"/>
        </w:rPr>
        <w:t xml:space="preserve">He, X., Richmond, M. E., Williams, D. V., Zheng, W., and Wu, F. (2019). Exogenous glycinebetaine reduces cadmium uptake and mitigates cadmium toxicity in two tobacco genotypes differing in cadmium tolerance. </w:t>
      </w:r>
      <w:r w:rsidRPr="00014C36">
        <w:rPr>
          <w:rFonts w:asciiTheme="majorBidi" w:hAnsiTheme="majorBidi" w:cstheme="majorBidi"/>
          <w:i/>
        </w:rPr>
        <w:t>International journal of molecular sciences</w:t>
      </w:r>
      <w:r w:rsidRPr="00014C36">
        <w:rPr>
          <w:rFonts w:asciiTheme="majorBidi" w:hAnsiTheme="majorBidi" w:cstheme="majorBidi"/>
        </w:rPr>
        <w:t xml:space="preserve"> </w:t>
      </w:r>
      <w:r w:rsidRPr="00014C36">
        <w:rPr>
          <w:rFonts w:asciiTheme="majorBidi" w:hAnsiTheme="majorBidi" w:cstheme="majorBidi"/>
          <w:b/>
        </w:rPr>
        <w:t>20</w:t>
      </w:r>
      <w:r w:rsidRPr="00014C36">
        <w:rPr>
          <w:rFonts w:asciiTheme="majorBidi" w:hAnsiTheme="majorBidi" w:cstheme="majorBidi"/>
        </w:rPr>
        <w:t>, 1612.</w:t>
      </w:r>
    </w:p>
    <w:p w14:paraId="59FA4A28" w14:textId="77777777" w:rsidR="001E774A" w:rsidRPr="00014C36" w:rsidRDefault="001E774A" w:rsidP="00014C36">
      <w:pPr>
        <w:pStyle w:val="EndNoteBibliography"/>
        <w:ind w:left="720" w:hanging="720"/>
        <w:jc w:val="both"/>
        <w:rPr>
          <w:rFonts w:asciiTheme="majorBidi" w:hAnsiTheme="majorBidi" w:cstheme="majorBidi"/>
        </w:rPr>
      </w:pPr>
      <w:r w:rsidRPr="00014C36">
        <w:rPr>
          <w:rFonts w:asciiTheme="majorBidi" w:hAnsiTheme="majorBidi" w:cstheme="majorBidi"/>
        </w:rPr>
        <w:t xml:space="preserve">Velikova, V., Yordanov, I., and Edreva, A. (2000). Oxidative stress and some antioxidant systems in acid rain-treated bean plants: protective role of exogenous polyamines. </w:t>
      </w:r>
      <w:r w:rsidRPr="00014C36">
        <w:rPr>
          <w:rFonts w:asciiTheme="majorBidi" w:hAnsiTheme="majorBidi" w:cstheme="majorBidi"/>
          <w:i/>
        </w:rPr>
        <w:t>Plant science</w:t>
      </w:r>
      <w:r w:rsidRPr="00014C36">
        <w:rPr>
          <w:rFonts w:asciiTheme="majorBidi" w:hAnsiTheme="majorBidi" w:cstheme="majorBidi"/>
        </w:rPr>
        <w:t xml:space="preserve"> </w:t>
      </w:r>
      <w:r w:rsidRPr="00014C36">
        <w:rPr>
          <w:rFonts w:asciiTheme="majorBidi" w:hAnsiTheme="majorBidi" w:cstheme="majorBidi"/>
          <w:b/>
        </w:rPr>
        <w:t>151</w:t>
      </w:r>
      <w:r w:rsidRPr="00014C36">
        <w:rPr>
          <w:rFonts w:asciiTheme="majorBidi" w:hAnsiTheme="majorBidi" w:cstheme="majorBidi"/>
        </w:rPr>
        <w:t>, 59-66.</w:t>
      </w:r>
    </w:p>
    <w:p w14:paraId="5DFC2BA4" w14:textId="683BD228" w:rsidR="004C5B12" w:rsidRDefault="004137D1" w:rsidP="00014C36">
      <w:pPr>
        <w:jc w:val="both"/>
      </w:pPr>
      <w:r w:rsidRPr="00014C36">
        <w:rPr>
          <w:rFonts w:asciiTheme="majorBidi" w:hAnsiTheme="majorBidi" w:cstheme="majorBidi"/>
        </w:rPr>
        <w:fldChar w:fldCharType="end"/>
      </w:r>
    </w:p>
    <w:sectPr w:rsidR="004C5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dv Agronom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z55zp90a0tavlefw27vf9fh2vaxerzea5pw&quot;&gt;My EndNote Library&lt;record-ids&gt;&lt;item&gt;1164&lt;/item&gt;&lt;item&gt;1165&lt;/item&gt;&lt;item&gt;1166&lt;/item&gt;&lt;item&gt;1167&lt;/item&gt;&lt;item&gt;1170&lt;/item&gt;&lt;item&gt;1171&lt;/item&gt;&lt;/record-ids&gt;&lt;/item&gt;&lt;/Libraries&gt;"/>
  </w:docVars>
  <w:rsids>
    <w:rsidRoot w:val="002214F0"/>
    <w:rsid w:val="00012558"/>
    <w:rsid w:val="00014C36"/>
    <w:rsid w:val="00150CD5"/>
    <w:rsid w:val="001E774A"/>
    <w:rsid w:val="001F0BBE"/>
    <w:rsid w:val="002214F0"/>
    <w:rsid w:val="00310064"/>
    <w:rsid w:val="003265C9"/>
    <w:rsid w:val="003950FC"/>
    <w:rsid w:val="003A6CC3"/>
    <w:rsid w:val="004137D1"/>
    <w:rsid w:val="00481DCD"/>
    <w:rsid w:val="0049236F"/>
    <w:rsid w:val="004A1A6F"/>
    <w:rsid w:val="004C5B12"/>
    <w:rsid w:val="00507741"/>
    <w:rsid w:val="005264D5"/>
    <w:rsid w:val="00573260"/>
    <w:rsid w:val="00874F4E"/>
    <w:rsid w:val="008C6709"/>
    <w:rsid w:val="009600ED"/>
    <w:rsid w:val="0099495B"/>
    <w:rsid w:val="009D1100"/>
    <w:rsid w:val="009F2645"/>
    <w:rsid w:val="00AC4D5F"/>
    <w:rsid w:val="00C649D7"/>
    <w:rsid w:val="00D5096F"/>
    <w:rsid w:val="00E83041"/>
    <w:rsid w:val="00F3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C73C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D5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14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4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4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4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4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4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4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4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4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4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4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4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4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4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4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4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4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4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4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4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4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4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4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4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4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4F0"/>
    <w:rPr>
      <w:b/>
      <w:bCs/>
      <w:smallCaps/>
      <w:color w:val="2F5496" w:themeColor="accent1" w:themeShade="BF"/>
      <w:spacing w:val="5"/>
    </w:rPr>
  </w:style>
  <w:style w:type="table" w:customStyle="1" w:styleId="PlainTable2">
    <w:name w:val="Plain Table 2"/>
    <w:basedOn w:val="TableNormal"/>
    <w:uiPriority w:val="42"/>
    <w:rsid w:val="00AC4D5F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4137D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137D1"/>
    <w:rPr>
      <w:rFonts w:ascii="Calibri" w:hAnsi="Calibri"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4137D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137D1"/>
    <w:rPr>
      <w:rFonts w:ascii="Calibri" w:hAnsi="Calibri" w:cs="Calibri"/>
      <w:noProof/>
      <w:sz w:val="22"/>
      <w:szCs w:val="22"/>
    </w:rPr>
  </w:style>
  <w:style w:type="paragraph" w:styleId="Revision">
    <w:name w:val="Revision"/>
    <w:hidden/>
    <w:uiPriority w:val="99"/>
    <w:semiHidden/>
    <w:rsid w:val="005264D5"/>
    <w:pPr>
      <w:spacing w:after="0" w:line="240" w:lineRule="auto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1665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Hussan Maqsood ul</dc:creator>
  <cp:keywords/>
  <dc:description/>
  <cp:lastModifiedBy>Pc </cp:lastModifiedBy>
  <cp:revision>13</cp:revision>
  <dcterms:created xsi:type="dcterms:W3CDTF">2025-04-22T08:39:00Z</dcterms:created>
  <dcterms:modified xsi:type="dcterms:W3CDTF">2025-07-05T18:22:00Z</dcterms:modified>
</cp:coreProperties>
</file>