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988CA" w14:textId="77777777" w:rsidR="00864CC6" w:rsidRDefault="00864CC6" w:rsidP="00864CC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Fig. 1.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Characteristics of (a) common bubbles: bubbles with larger diameters, limited air storage capacity, shorter-term stability, and lower solubility. (b) Micro-nano bubbles: bubbles with small diameters ranging from 1 to 100 nanometers, exhibiting high air storag</w:t>
      </w:r>
      <w:bookmarkStart w:id="0" w:name="_GoBack"/>
      <w:bookmarkEnd w:id="0"/>
      <w:r>
        <w:rPr>
          <w:rFonts w:ascii="Times New Roman" w:eastAsia="宋体" w:hAnsi="Times New Roman" w:cs="Times New Roman"/>
          <w:sz w:val="24"/>
        </w:rPr>
        <w:t>e capacity, long-term stability, and high solubility.</w:t>
      </w:r>
      <w:r>
        <w:rPr>
          <w:rFonts w:hint="eastAsia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(c) Photograph of micro-nano bubbles.</w:t>
      </w:r>
    </w:p>
    <w:p w14:paraId="59D9311A" w14:textId="77777777" w:rsidR="00C17557" w:rsidRDefault="00C17557" w:rsidP="000A11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24D1A82" w14:textId="5A6B1A34" w:rsidR="000A11E1" w:rsidRPr="003E7E7B" w:rsidRDefault="000A11E1" w:rsidP="000A11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OLE_LINK3"/>
      <w:bookmarkStart w:id="2" w:name="OLE_LINK4"/>
      <w:r w:rsidRPr="00326CD8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132532">
        <w:rPr>
          <w:rFonts w:ascii="Times New Roman" w:hAnsi="Times New Roman" w:cs="Times New Roman"/>
          <w:b/>
          <w:sz w:val="24"/>
          <w:szCs w:val="24"/>
        </w:rPr>
        <w:t>2</w:t>
      </w:r>
      <w:r w:rsidRPr="00326CD8">
        <w:rPr>
          <w:rFonts w:ascii="Times New Roman" w:hAnsi="Times New Roman" w:cs="Times New Roman"/>
          <w:b/>
          <w:sz w:val="24"/>
          <w:szCs w:val="24"/>
        </w:rPr>
        <w:t>.</w:t>
      </w:r>
      <w:r w:rsidRPr="003E7E7B">
        <w:rPr>
          <w:rFonts w:ascii="Times New Roman" w:hAnsi="Times New Roman" w:cs="Times New Roman"/>
          <w:sz w:val="24"/>
          <w:szCs w:val="24"/>
        </w:rPr>
        <w:t xml:space="preserve"> Impact of micro-nano bubble aeration on dissolved 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7E7B">
        <w:rPr>
          <w:rFonts w:ascii="Times New Roman" w:hAnsi="Times New Roman" w:cs="Times New Roman"/>
          <w:sz w:val="24"/>
          <w:szCs w:val="24"/>
        </w:rPr>
        <w:t xml:space="preserve"> levels in water. 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E7E7B">
        <w:rPr>
          <w:rFonts w:ascii="Times New Roman" w:hAnsi="Times New Roman" w:cs="Times New Roman"/>
          <w:sz w:val="24"/>
          <w:szCs w:val="24"/>
        </w:rPr>
        <w:t>) Effect of different aeration rates on the concentration of dissolved 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7E7B">
        <w:rPr>
          <w:rFonts w:ascii="Times New Roman" w:hAnsi="Times New Roman" w:cs="Times New Roman"/>
          <w:sz w:val="24"/>
          <w:szCs w:val="24"/>
        </w:rPr>
        <w:t xml:space="preserve"> in water. 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E7E7B">
        <w:rPr>
          <w:rFonts w:ascii="Times New Roman" w:hAnsi="Times New Roman" w:cs="Times New Roman"/>
          <w:sz w:val="24"/>
          <w:szCs w:val="24"/>
        </w:rPr>
        <w:t>) Effect of varying inflow/outflow rates on the dissolved 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3E7E7B">
        <w:rPr>
          <w:rFonts w:ascii="Times New Roman" w:hAnsi="Times New Roman" w:cs="Times New Roman"/>
          <w:sz w:val="24"/>
          <w:szCs w:val="24"/>
        </w:rPr>
        <w:t>in water at a constant aeration rate of 4L/min.</w:t>
      </w:r>
    </w:p>
    <w:bookmarkEnd w:id="1"/>
    <w:bookmarkEnd w:id="2"/>
    <w:p w14:paraId="62FEA86B" w14:textId="77777777" w:rsidR="000A11E1" w:rsidRPr="000823B8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E8FFDBE" w14:textId="462F84B5" w:rsidR="000A11E1" w:rsidRPr="003E7E7B" w:rsidRDefault="000A11E1" w:rsidP="000A11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6CD8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132532">
        <w:rPr>
          <w:rFonts w:ascii="Times New Roman" w:hAnsi="Times New Roman" w:cs="Times New Roman"/>
          <w:b/>
          <w:sz w:val="24"/>
          <w:szCs w:val="24"/>
        </w:rPr>
        <w:t>3</w:t>
      </w:r>
      <w:r w:rsidRPr="00326C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E7E7B">
        <w:rPr>
          <w:rFonts w:ascii="Times New Roman" w:hAnsi="Times New Roman" w:cs="Times New Roman"/>
          <w:sz w:val="24"/>
          <w:szCs w:val="24"/>
        </w:rPr>
        <w:t>Effects of different treatments on diurnal variations of soil pore 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7E7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E7E7B">
        <w:rPr>
          <w:rFonts w:ascii="Times New Roman" w:hAnsi="Times New Roman" w:cs="Times New Roman"/>
          <w:sz w:val="24"/>
          <w:szCs w:val="24"/>
        </w:rPr>
        <w:t>) and CO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7E7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E7E7B">
        <w:rPr>
          <w:rFonts w:ascii="Times New Roman" w:hAnsi="Times New Roman" w:cs="Times New Roman"/>
          <w:sz w:val="24"/>
          <w:szCs w:val="24"/>
        </w:rPr>
        <w:t>); the variations of soil pore 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7E7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E7E7B">
        <w:rPr>
          <w:rFonts w:ascii="Times New Roman" w:hAnsi="Times New Roman" w:cs="Times New Roman"/>
          <w:sz w:val="24"/>
          <w:szCs w:val="24"/>
        </w:rPr>
        <w:t>) and CO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7E7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E7E7B">
        <w:rPr>
          <w:rFonts w:ascii="Times New Roman" w:hAnsi="Times New Roman" w:cs="Times New Roman"/>
          <w:sz w:val="24"/>
          <w:szCs w:val="24"/>
        </w:rPr>
        <w:t>) between different dates during the tomato cultivation period; and the relationship between soil pore 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7E7B">
        <w:rPr>
          <w:rFonts w:ascii="Times New Roman" w:hAnsi="Times New Roman" w:cs="Times New Roman"/>
          <w:sz w:val="24"/>
          <w:szCs w:val="24"/>
        </w:rPr>
        <w:t xml:space="preserve"> and CO</w:t>
      </w:r>
      <w:r w:rsidRPr="003E7E7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7E7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E7E7B">
        <w:rPr>
          <w:rFonts w:ascii="Times New Roman" w:hAnsi="Times New Roman" w:cs="Times New Roman"/>
          <w:sz w:val="24"/>
          <w:szCs w:val="24"/>
        </w:rPr>
        <w:t>).</w:t>
      </w:r>
    </w:p>
    <w:p w14:paraId="55064FF1" w14:textId="77777777" w:rsidR="000A11E1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E35BC4C" w14:textId="77777777" w:rsidR="000A11E1" w:rsidRPr="000823B8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E859118" w14:textId="2784E9AB" w:rsidR="000A11E1" w:rsidRDefault="000A11E1" w:rsidP="000A11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6CD8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132532">
        <w:rPr>
          <w:rFonts w:ascii="Times New Roman" w:hAnsi="Times New Roman" w:cs="Times New Roman"/>
          <w:b/>
          <w:sz w:val="24"/>
          <w:szCs w:val="24"/>
        </w:rPr>
        <w:t>4</w:t>
      </w:r>
      <w:r w:rsidRPr="00326CD8">
        <w:rPr>
          <w:rFonts w:ascii="Times New Roman" w:hAnsi="Times New Roman" w:cs="Times New Roman"/>
          <w:b/>
          <w:sz w:val="24"/>
          <w:szCs w:val="24"/>
        </w:rPr>
        <w:t>.</w:t>
      </w:r>
      <w:r w:rsidRPr="0067630E">
        <w:rPr>
          <w:rFonts w:ascii="Times New Roman" w:hAnsi="Times New Roman" w:cs="Times New Roman"/>
          <w:sz w:val="24"/>
          <w:szCs w:val="24"/>
        </w:rPr>
        <w:t xml:space="preserve"> Distribution of soil water content at a depth of 5-35 cm under different soil aeration and irrigation levels in 2022 and 2023. </w:t>
      </w:r>
    </w:p>
    <w:p w14:paraId="051C0556" w14:textId="77777777" w:rsidR="000A11E1" w:rsidRPr="000823B8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F056FE3" w14:textId="75674C45" w:rsidR="000A11E1" w:rsidRPr="003E7E7B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326CD8">
        <w:rPr>
          <w:rFonts w:ascii="Times New Roman" w:eastAsia="宋体" w:hAnsi="Times New Roman" w:cs="Times New Roman"/>
          <w:b/>
          <w:sz w:val="24"/>
          <w:szCs w:val="24"/>
        </w:rPr>
        <w:t xml:space="preserve">Fig. </w:t>
      </w:r>
      <w:r w:rsidR="00132532">
        <w:rPr>
          <w:rFonts w:ascii="Times New Roman" w:eastAsia="宋体" w:hAnsi="Times New Roman" w:cs="Times New Roman"/>
          <w:b/>
          <w:sz w:val="24"/>
          <w:szCs w:val="24"/>
        </w:rPr>
        <w:t>5</w:t>
      </w:r>
      <w:r w:rsidRPr="00326CD8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 Root scan photos of tomato plants during the ripening stage under different treatments in 2022. </w:t>
      </w:r>
      <w:r>
        <w:rPr>
          <w:rFonts w:ascii="Times New Roman" w:eastAsia="宋体" w:hAnsi="Times New Roman" w:cs="Times New Roman"/>
          <w:sz w:val="24"/>
          <w:szCs w:val="24"/>
        </w:rPr>
        <w:t>a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: L1I1; </w:t>
      </w:r>
      <w:r>
        <w:rPr>
          <w:rFonts w:ascii="Times New Roman" w:eastAsia="宋体" w:hAnsi="Times New Roman" w:cs="Times New Roman"/>
          <w:sz w:val="24"/>
          <w:szCs w:val="24"/>
        </w:rPr>
        <w:t>b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: N2I1; </w:t>
      </w:r>
      <w:r>
        <w:rPr>
          <w:rFonts w:ascii="Times New Roman" w:eastAsia="宋体" w:hAnsi="Times New Roman" w:cs="Times New Roman"/>
          <w:sz w:val="24"/>
          <w:szCs w:val="24"/>
        </w:rPr>
        <w:t>c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: CK1; </w:t>
      </w:r>
      <w:r>
        <w:rPr>
          <w:rFonts w:ascii="Times New Roman" w:eastAsia="宋体" w:hAnsi="Times New Roman" w:cs="Times New Roman"/>
          <w:sz w:val="24"/>
          <w:szCs w:val="24"/>
        </w:rPr>
        <w:t>d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: L1I2; </w:t>
      </w:r>
      <w:r>
        <w:rPr>
          <w:rFonts w:ascii="Times New Roman" w:eastAsia="宋体" w:hAnsi="Times New Roman" w:cs="Times New Roman"/>
          <w:sz w:val="24"/>
          <w:szCs w:val="24"/>
        </w:rPr>
        <w:t>e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: N2I2; </w:t>
      </w:r>
      <w:r>
        <w:rPr>
          <w:rFonts w:ascii="Times New Roman" w:eastAsia="宋体" w:hAnsi="Times New Roman" w:cs="Times New Roman"/>
          <w:sz w:val="24"/>
          <w:szCs w:val="24"/>
        </w:rPr>
        <w:t>f</w:t>
      </w:r>
      <w:r w:rsidRPr="003E7E7B">
        <w:rPr>
          <w:rFonts w:ascii="Times New Roman" w:eastAsia="宋体" w:hAnsi="Times New Roman" w:cs="Times New Roman"/>
          <w:sz w:val="24"/>
          <w:szCs w:val="24"/>
        </w:rPr>
        <w:t>: CK2.</w:t>
      </w:r>
    </w:p>
    <w:p w14:paraId="2EA2216C" w14:textId="77777777" w:rsidR="000A11E1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CE8EA6D" w14:textId="1BD6C34E" w:rsidR="000A11E1" w:rsidRPr="003E7E7B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326CD8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Fig. </w:t>
      </w:r>
      <w:r w:rsidR="00132532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Pr="00326CD8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Pearson correlation coefficient among soil water content, soil </w:t>
      </w:r>
      <w:r>
        <w:rPr>
          <w:rFonts w:ascii="Times New Roman" w:eastAsia="宋体" w:hAnsi="Times New Roman" w:cs="Times New Roman"/>
          <w:sz w:val="24"/>
        </w:rPr>
        <w:t>O</w:t>
      </w:r>
      <w:r w:rsidRPr="006C54C6">
        <w:rPr>
          <w:rFonts w:ascii="Times New Roman" w:eastAsia="宋体" w:hAnsi="Times New Roman" w:cs="Times New Roman"/>
          <w:sz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vertAlign w:val="subscript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and CO</w:t>
      </w:r>
      <w:r w:rsidRPr="006C54C6">
        <w:rPr>
          <w:rFonts w:ascii="Times New Roman" w:eastAsia="宋体" w:hAnsi="Times New Roman" w:cs="Times New Roman"/>
          <w:sz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vertAlign w:val="subscript"/>
        </w:rPr>
        <w:t xml:space="preserve"> </w:t>
      </w:r>
      <w:r w:rsidRPr="003E7E7B">
        <w:rPr>
          <w:rFonts w:ascii="Times New Roman" w:eastAsia="宋体" w:hAnsi="Times New Roman" w:cs="Times New Roman"/>
          <w:sz w:val="24"/>
          <w:szCs w:val="24"/>
        </w:rPr>
        <w:t>concentration, nitrogen, root extracts, growth traits, and fruit yield. *p &lt; 0.05.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2E76284C" w14:textId="77777777" w:rsidR="000A11E1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5F4B724" w14:textId="72B0F54F" w:rsidR="000A11E1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</w:rPr>
      </w:pPr>
      <w:r w:rsidRPr="00326CD8">
        <w:rPr>
          <w:rFonts w:ascii="Times New Roman" w:eastAsia="宋体" w:hAnsi="Times New Roman" w:cs="Times New Roman"/>
          <w:b/>
          <w:sz w:val="24"/>
          <w:szCs w:val="24"/>
        </w:rPr>
        <w:t xml:space="preserve">Fig. </w:t>
      </w:r>
      <w:r w:rsidR="00132532">
        <w:rPr>
          <w:rFonts w:ascii="Times New Roman" w:eastAsia="宋体" w:hAnsi="Times New Roman" w:cs="Times New Roman"/>
          <w:b/>
          <w:sz w:val="24"/>
          <w:szCs w:val="24"/>
        </w:rPr>
        <w:t>7</w:t>
      </w:r>
      <w:r w:rsidRPr="00326CD8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96ACE">
        <w:rPr>
          <w:rFonts w:ascii="Times New Roman" w:eastAsia="宋体" w:hAnsi="Times New Roman" w:cs="Times New Roman"/>
          <w:sz w:val="24"/>
        </w:rPr>
        <w:t xml:space="preserve">Principal component analysis (PCA) was conducted to elucidate the relationships between irrigation and aeration treatments and the corresponding variables in 2022 </w:t>
      </w:r>
      <w:r w:rsidRPr="003E7E7B">
        <w:rPr>
          <w:rFonts w:ascii="Times New Roman" w:eastAsia="宋体" w:hAnsi="Times New Roman" w:cs="Times New Roman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a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Pr="00996ACE">
        <w:rPr>
          <w:rFonts w:ascii="Times New Roman" w:eastAsia="宋体" w:hAnsi="Times New Roman" w:cs="Times New Roman"/>
          <w:sz w:val="24"/>
        </w:rPr>
        <w:t>and 2023</w:t>
      </w:r>
      <w:r w:rsidRPr="003E7E7B">
        <w:rPr>
          <w:rFonts w:ascii="Times New Roman" w:eastAsia="宋体" w:hAnsi="Times New Roman" w:cs="Times New Roman"/>
          <w:sz w:val="24"/>
          <w:szCs w:val="24"/>
        </w:rPr>
        <w:t xml:space="preserve"> (</w:t>
      </w:r>
      <w:r>
        <w:rPr>
          <w:rFonts w:ascii="Times New Roman" w:eastAsia="宋体" w:hAnsi="Times New Roman" w:cs="Times New Roman"/>
          <w:sz w:val="24"/>
          <w:szCs w:val="24"/>
        </w:rPr>
        <w:t>b</w:t>
      </w:r>
      <w:r w:rsidRPr="003E7E7B">
        <w:rPr>
          <w:rFonts w:ascii="Times New Roman" w:eastAsia="宋体" w:hAnsi="Times New Roman" w:cs="Times New Roman"/>
          <w:sz w:val="24"/>
          <w:szCs w:val="24"/>
        </w:rPr>
        <w:t>).</w:t>
      </w:r>
      <w:r w:rsidRPr="00996ACE">
        <w:rPr>
          <w:rFonts w:ascii="Times New Roman" w:eastAsia="宋体" w:hAnsi="Times New Roman" w:cs="Times New Roman"/>
          <w:sz w:val="24"/>
        </w:rPr>
        <w:t xml:space="preserve"> The lines originating from the central point of the biplots depict the positive or negative correlations of different variables, while their proximity indicates the strength of correlation with a specific treatment.</w:t>
      </w:r>
    </w:p>
    <w:p w14:paraId="18229727" w14:textId="77777777" w:rsidR="000A11E1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20D7A0E" w14:textId="25187139" w:rsidR="000A11E1" w:rsidRDefault="000A11E1" w:rsidP="000A11E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0823B8">
        <w:rPr>
          <w:rFonts w:ascii="Times New Roman" w:eastAsia="宋体" w:hAnsi="Times New Roman" w:cs="Times New Roman"/>
          <w:b/>
          <w:sz w:val="24"/>
          <w:szCs w:val="24"/>
        </w:rPr>
        <w:t xml:space="preserve">Fig. </w:t>
      </w:r>
      <w:r w:rsidR="00132532">
        <w:rPr>
          <w:rFonts w:ascii="Times New Roman" w:eastAsia="宋体" w:hAnsi="Times New Roman" w:cs="Times New Roman"/>
          <w:b/>
          <w:sz w:val="24"/>
          <w:szCs w:val="24"/>
        </w:rPr>
        <w:t>8</w:t>
      </w:r>
      <w:r w:rsidRPr="000823B8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0823B8">
        <w:rPr>
          <w:rFonts w:ascii="Times New Roman" w:eastAsia="宋体" w:hAnsi="Times New Roman" w:cs="Times New Roman"/>
          <w:sz w:val="24"/>
          <w:szCs w:val="24"/>
        </w:rPr>
        <w:t>SEM analysis depicting the regulatory pathway of tomato fruit yield under the conditions of soil aeration. The numbers on the arrows are standardized direct path coefficients. The red line represents a positive path coefficient, and the green line represents a negative path coefficient.</w:t>
      </w:r>
    </w:p>
    <w:sectPr w:rsidR="000A11E1" w:rsidSect="000A11E1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DA6F6" w14:textId="77777777" w:rsidR="00557D0C" w:rsidRDefault="00557D0C" w:rsidP="000A11E1">
      <w:r>
        <w:separator/>
      </w:r>
    </w:p>
  </w:endnote>
  <w:endnote w:type="continuationSeparator" w:id="0">
    <w:p w14:paraId="5E8A71C8" w14:textId="77777777" w:rsidR="00557D0C" w:rsidRDefault="00557D0C" w:rsidP="000A1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38087" w14:textId="77777777" w:rsidR="00557D0C" w:rsidRDefault="00557D0C" w:rsidP="000A11E1">
      <w:r>
        <w:separator/>
      </w:r>
    </w:p>
  </w:footnote>
  <w:footnote w:type="continuationSeparator" w:id="0">
    <w:p w14:paraId="6A3624EA" w14:textId="77777777" w:rsidR="00557D0C" w:rsidRDefault="00557D0C" w:rsidP="000A1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BB2"/>
    <w:rsid w:val="000A11E1"/>
    <w:rsid w:val="00132532"/>
    <w:rsid w:val="00234BB2"/>
    <w:rsid w:val="004C4329"/>
    <w:rsid w:val="00557D0C"/>
    <w:rsid w:val="006961EB"/>
    <w:rsid w:val="006F4C86"/>
    <w:rsid w:val="00864CC6"/>
    <w:rsid w:val="00A531A6"/>
    <w:rsid w:val="00C17557"/>
    <w:rsid w:val="00D8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EE61A1"/>
  <w15:chartTrackingRefBased/>
  <w15:docId w15:val="{A498CF37-FE84-409D-BB98-C952751E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1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4B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4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4B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4BB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4BB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4BB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4BB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4BB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4BB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4BB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34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34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34BB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34BB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34BB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34B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34B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34B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34B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4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4B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34B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4B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4B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4B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4B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4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34B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4BB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11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A11E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A11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A11E1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0A1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N</dc:creator>
  <cp:keywords/>
  <dc:description/>
  <cp:lastModifiedBy>Lenovo</cp:lastModifiedBy>
  <cp:revision>5</cp:revision>
  <dcterms:created xsi:type="dcterms:W3CDTF">2025-06-30T09:58:00Z</dcterms:created>
  <dcterms:modified xsi:type="dcterms:W3CDTF">2025-09-07T08:48:00Z</dcterms:modified>
</cp:coreProperties>
</file>