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769" w:rsidRDefault="003245F6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Supplementary file-</w:t>
      </w:r>
      <w:r w:rsidR="00DE114E" w:rsidRPr="00DE114E">
        <w:rPr>
          <w:rFonts w:ascii="Times New Roman" w:hAnsi="Times New Roman" w:cs="Times New Roman"/>
          <w:sz w:val="24"/>
        </w:rPr>
        <w:t xml:space="preserve"> </w:t>
      </w:r>
      <w:r w:rsidR="00DE114E" w:rsidRPr="003B1C05">
        <w:rPr>
          <w:rFonts w:ascii="Times New Roman" w:hAnsi="Times New Roman" w:cs="Times New Roman"/>
          <w:sz w:val="24"/>
        </w:rPr>
        <w:t>Genomic Dissection of Early Seedling Vigour Traits in Chickpea Reveals Key Marker-Trait Associations"</w:t>
      </w:r>
      <w:r w:rsidR="00DE114E">
        <w:rPr>
          <w:rFonts w:ascii="Times New Roman" w:hAnsi="Times New Roman" w:cs="Times New Roman"/>
          <w:sz w:val="24"/>
        </w:rPr>
        <w:t xml:space="preserve"> (New revised title: </w:t>
      </w:r>
      <w:r w:rsidR="00DE114E" w:rsidRPr="00C26CF4">
        <w:rPr>
          <w:rFonts w:ascii="Times New Roman" w:hAnsi="Times New Roman" w:cs="Times New Roman"/>
          <w:sz w:val="24"/>
        </w:rPr>
        <w:t>Dissection of Genomic Regions Underlying Early Seedling Vigour in Chickpea through Genome-Wide Association Mapping</w:t>
      </w:r>
      <w:r w:rsidR="00DE114E">
        <w:rPr>
          <w:rFonts w:ascii="Times New Roman" w:hAnsi="Times New Roman" w:cs="Times New Roman"/>
          <w:sz w:val="24"/>
        </w:rPr>
        <w:t xml:space="preserve">) (Submission ID: </w:t>
      </w:r>
      <w:r w:rsidR="00DE114E" w:rsidRPr="003B1C05">
        <w:rPr>
          <w:rFonts w:ascii="Times New Roman" w:hAnsi="Times New Roman" w:cs="Times New Roman"/>
          <w:sz w:val="24"/>
        </w:rPr>
        <w:t>e182e59a-e1f6-49f3-884d-adf9543dc6c1</w:t>
      </w:r>
      <w:r w:rsidR="00DE114E">
        <w:rPr>
          <w:rFonts w:ascii="Times New Roman" w:hAnsi="Times New Roman" w:cs="Times New Roman"/>
          <w:sz w:val="24"/>
        </w:rPr>
        <w:t>)</w:t>
      </w:r>
      <w:r w:rsidR="00DE114E" w:rsidRPr="003B1C05">
        <w:rPr>
          <w:rFonts w:ascii="Times New Roman" w:hAnsi="Times New Roman" w:cs="Times New Roman"/>
          <w:sz w:val="24"/>
        </w:rPr>
        <w:t>.</w:t>
      </w:r>
    </w:p>
    <w:p w:rsidR="003245F6" w:rsidRDefault="003245F6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en-IN"/>
        </w:rPr>
        <w:drawing>
          <wp:inline distT="0" distB="0" distL="0" distR="0">
            <wp:extent cx="5731510" cy="4298950"/>
            <wp:effectExtent l="0" t="0" r="254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0250808_163828_324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5F6" w:rsidRDefault="003245F6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Supplementary Fig. S1. </w:t>
      </w:r>
      <w:r w:rsidR="00DF563A" w:rsidRPr="00DF563A">
        <w:rPr>
          <w:rFonts w:ascii="Times New Roman" w:hAnsi="Times New Roman" w:cs="Times New Roman"/>
          <w:b/>
          <w:sz w:val="24"/>
        </w:rPr>
        <w:t>Representative image of chickpea seedlings used for phenotyping root length, shoot length, and early seedling vigour traits.</w:t>
      </w:r>
    </w:p>
    <w:p w:rsidR="003245F6" w:rsidRDefault="003E2BA2" w:rsidP="003245F6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en-IN"/>
        </w:rPr>
        <w:lastRenderedPageBreak/>
        <w:drawing>
          <wp:inline distT="0" distB="0" distL="0" distR="0">
            <wp:extent cx="5731510" cy="322389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heno2_Uttarayan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45F6">
        <w:rPr>
          <w:rFonts w:ascii="Times New Roman" w:hAnsi="Times New Roman" w:cs="Times New Roman"/>
          <w:b/>
          <w:sz w:val="24"/>
        </w:rPr>
        <w:t xml:space="preserve">Supplementary Fig. S2. </w:t>
      </w:r>
      <w:r w:rsidR="00DF563A" w:rsidRPr="00DF563A">
        <w:rPr>
          <w:rFonts w:ascii="Times New Roman" w:hAnsi="Times New Roman" w:cs="Times New Roman"/>
          <w:b/>
          <w:sz w:val="24"/>
        </w:rPr>
        <w:t>Representative image of chickpea seedlings displaying contrasting phenotypes for root and shoot growth at the early seedling stage.</w:t>
      </w:r>
    </w:p>
    <w:p w:rsidR="003245F6" w:rsidRDefault="003245F6">
      <w:r>
        <w:rPr>
          <w:noProof/>
          <w:lang w:eastAsia="en-IN"/>
        </w:rPr>
        <w:drawing>
          <wp:inline distT="0" distB="0" distL="0" distR="0">
            <wp:extent cx="5731510" cy="322389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R_Uttarayan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5F6" w:rsidRDefault="003245F6" w:rsidP="003245F6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Supplementary Fig. S3. Representative photos of </w:t>
      </w:r>
      <w:r w:rsidR="00DF563A">
        <w:rPr>
          <w:rFonts w:ascii="Times New Roman" w:hAnsi="Times New Roman" w:cs="Times New Roman"/>
          <w:b/>
          <w:sz w:val="24"/>
        </w:rPr>
        <w:t xml:space="preserve">chickpea </w:t>
      </w:r>
      <w:r>
        <w:rPr>
          <w:rFonts w:ascii="Times New Roman" w:hAnsi="Times New Roman" w:cs="Times New Roman"/>
          <w:b/>
          <w:sz w:val="24"/>
        </w:rPr>
        <w:t>genotypes with a variable number of lateral roots</w:t>
      </w:r>
    </w:p>
    <w:p w:rsidR="003245F6" w:rsidRDefault="003245F6" w:rsidP="003245F6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en-IN"/>
        </w:rPr>
        <w:lastRenderedPageBreak/>
        <w:drawing>
          <wp:inline distT="0" distB="0" distL="0" distR="0">
            <wp:extent cx="5731510" cy="322389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DW_photo_Uttarayan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5F6" w:rsidRDefault="003245F6" w:rsidP="003245F6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Supplementary Fig. S4. Seed images of higher SDW and lower SDW </w:t>
      </w:r>
      <w:r w:rsidR="00DF563A">
        <w:rPr>
          <w:rFonts w:ascii="Times New Roman" w:hAnsi="Times New Roman" w:cs="Times New Roman"/>
          <w:b/>
          <w:sz w:val="24"/>
        </w:rPr>
        <w:t>chickpea genotypes</w:t>
      </w:r>
    </w:p>
    <w:p w:rsidR="003245F6" w:rsidRDefault="00A50F91">
      <w:r>
        <w:rPr>
          <w:noProof/>
          <w:lang w:eastAsia="en-IN"/>
        </w:rPr>
        <w:drawing>
          <wp:inline distT="0" distB="0" distL="0" distR="0">
            <wp:extent cx="5731510" cy="301053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plot0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1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0F91" w:rsidRPr="00841B43" w:rsidRDefault="00A50F91">
      <w:r>
        <w:rPr>
          <w:rFonts w:ascii="Times New Roman" w:hAnsi="Times New Roman" w:cs="Times New Roman"/>
          <w:b/>
          <w:sz w:val="24"/>
        </w:rPr>
        <w:t xml:space="preserve">Supplementary Fig. S5. </w:t>
      </w:r>
      <w:r w:rsidRPr="00841B43">
        <w:rPr>
          <w:rFonts w:ascii="Times New Roman" w:hAnsi="Times New Roman" w:cs="Times New Roman"/>
          <w:sz w:val="24"/>
        </w:rPr>
        <w:t xml:space="preserve">Comparison of lateral root count (LRC) among </w:t>
      </w:r>
      <w:r w:rsidR="006F2C2B">
        <w:rPr>
          <w:rFonts w:ascii="Times New Roman" w:hAnsi="Times New Roman" w:cs="Times New Roman"/>
          <w:sz w:val="24"/>
        </w:rPr>
        <w:t xml:space="preserve">the </w:t>
      </w:r>
      <w:r w:rsidRPr="00841B43">
        <w:rPr>
          <w:rFonts w:ascii="Times New Roman" w:hAnsi="Times New Roman" w:cs="Times New Roman"/>
          <w:sz w:val="24"/>
        </w:rPr>
        <w:t xml:space="preserve">four contrasting chickpea genotypes at the early seedling stage. </w:t>
      </w:r>
      <w:r w:rsidR="001F6A24">
        <w:rPr>
          <w:rFonts w:ascii="Times New Roman" w:hAnsi="Times New Roman" w:cs="Times New Roman"/>
          <w:sz w:val="24"/>
        </w:rPr>
        <w:t xml:space="preserve">Lateral roots having </w:t>
      </w:r>
      <w:r w:rsidR="00F9774B">
        <w:rPr>
          <w:rFonts w:ascii="Times New Roman" w:hAnsi="Times New Roman" w:cs="Times New Roman"/>
          <w:sz w:val="24"/>
        </w:rPr>
        <w:t xml:space="preserve">a </w:t>
      </w:r>
      <w:bookmarkStart w:id="0" w:name="_GoBack"/>
      <w:bookmarkEnd w:id="0"/>
      <w:r w:rsidR="001F6A24">
        <w:rPr>
          <w:rFonts w:ascii="Times New Roman" w:hAnsi="Times New Roman" w:cs="Times New Roman"/>
          <w:sz w:val="24"/>
        </w:rPr>
        <w:t xml:space="preserve">length &gt;1 mm were considered in the count. </w:t>
      </w:r>
      <w:r w:rsidRPr="00841B43">
        <w:rPr>
          <w:rFonts w:ascii="Times New Roman" w:hAnsi="Times New Roman" w:cs="Times New Roman"/>
          <w:sz w:val="24"/>
        </w:rPr>
        <w:t>Genotypes ICC15567 and ICC8318 showed significantly higher LRC values, whereas ICC11279 and ICC1164 exhibited lower LRC, confirming phenotypic differences consistent with genetic variation in lateral-root–associated genes identified in the study. Data represent mean ± SE (n = 10), and statistical significance was determined by one-way ANOVA followed by Games–Howell post-hoc test (</w:t>
      </w:r>
      <w:r w:rsidRPr="00841B43">
        <w:rPr>
          <w:rFonts w:ascii="Times New Roman" w:hAnsi="Times New Roman" w:cs="Times New Roman"/>
          <w:i/>
          <w:iCs/>
          <w:sz w:val="24"/>
        </w:rPr>
        <w:t>p</w:t>
      </w:r>
      <w:r w:rsidRPr="00841B43">
        <w:rPr>
          <w:rFonts w:ascii="Times New Roman" w:hAnsi="Times New Roman" w:cs="Times New Roman"/>
          <w:sz w:val="24"/>
        </w:rPr>
        <w:t xml:space="preserve"> &lt; 0.05). </w:t>
      </w:r>
    </w:p>
    <w:sectPr w:rsidR="00A50F91" w:rsidRPr="00841B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6DA"/>
    <w:rsid w:val="001F6A24"/>
    <w:rsid w:val="002117AD"/>
    <w:rsid w:val="002506DA"/>
    <w:rsid w:val="003245F6"/>
    <w:rsid w:val="003E2BA2"/>
    <w:rsid w:val="00626769"/>
    <w:rsid w:val="006F2C2B"/>
    <w:rsid w:val="00841B43"/>
    <w:rsid w:val="009020A9"/>
    <w:rsid w:val="00A50F91"/>
    <w:rsid w:val="00AD423A"/>
    <w:rsid w:val="00DC38ED"/>
    <w:rsid w:val="00DE114E"/>
    <w:rsid w:val="00DF563A"/>
    <w:rsid w:val="00F9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8DF4F3"/>
  <w15:chartTrackingRefBased/>
  <w15:docId w15:val="{FE3C28E1-8063-44DF-9213-CD6AEDFCB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192</Words>
  <Characters>1220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Uttarayan</dc:creator>
  <cp:keywords/>
  <dc:description/>
  <cp:lastModifiedBy>Uttarayan</cp:lastModifiedBy>
  <cp:revision>12</cp:revision>
  <dcterms:created xsi:type="dcterms:W3CDTF">2025-08-20T18:22:00Z</dcterms:created>
  <dcterms:modified xsi:type="dcterms:W3CDTF">2025-10-29T07:28:00Z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598925ff-e756-4e23-aca0-dd8e46d1ce80</vt:lpwstr>
  </property>
</Properties>
</file>