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B492FA" w14:textId="51EBC050" w:rsidR="00EC2549" w:rsidRPr="00A46561" w:rsidRDefault="00357A68" w:rsidP="00357A68">
      <w:pPr>
        <w:jc w:val="both"/>
        <w:rPr>
          <w:rFonts w:ascii="Times New Roman" w:hAnsi="Times New Roman" w:cs="Times New Roman"/>
          <w:b/>
          <w:bCs/>
        </w:rPr>
      </w:pPr>
      <w:r w:rsidRPr="00A46561">
        <w:rPr>
          <w:rFonts w:ascii="Times New Roman" w:hAnsi="Times New Roman" w:cs="Times New Roman"/>
          <w:b/>
          <w:bCs/>
        </w:rPr>
        <w:t>Supplementary Figures</w:t>
      </w:r>
    </w:p>
    <w:p w14:paraId="41D2ED97" w14:textId="75AAA61C" w:rsidR="00357A68" w:rsidRDefault="00357A68" w:rsidP="00357A68">
      <w:pPr>
        <w:jc w:val="both"/>
        <w:rPr>
          <w:rFonts w:ascii="Times New Roman" w:hAnsi="Times New Roman" w:cs="Times New Roman"/>
        </w:rPr>
      </w:pPr>
      <w:r>
        <w:rPr>
          <w:rFonts w:ascii="Times New Roman" w:hAnsi="Times New Roman" w:cs="Times New Roman"/>
          <w:noProof/>
        </w:rPr>
        <w:drawing>
          <wp:inline distT="0" distB="0" distL="0" distR="0" wp14:anchorId="2EB3724A" wp14:editId="2467FDBF">
            <wp:extent cx="5943600" cy="5887085"/>
            <wp:effectExtent l="19050" t="19050" r="19050" b="184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5887085"/>
                    </a:xfrm>
                    <a:prstGeom prst="rect">
                      <a:avLst/>
                    </a:prstGeom>
                    <a:ln>
                      <a:solidFill>
                        <a:schemeClr val="tx1"/>
                      </a:solidFill>
                    </a:ln>
                  </pic:spPr>
                </pic:pic>
              </a:graphicData>
            </a:graphic>
          </wp:inline>
        </w:drawing>
      </w:r>
    </w:p>
    <w:p w14:paraId="7ED917E3" w14:textId="653E5C4E" w:rsidR="00357A68" w:rsidRDefault="00357A68" w:rsidP="00357A68">
      <w:pPr>
        <w:jc w:val="both"/>
        <w:rPr>
          <w:rFonts w:ascii="Times New Roman" w:hAnsi="Times New Roman" w:cs="Times New Roman"/>
        </w:rPr>
      </w:pPr>
      <w:r>
        <w:rPr>
          <w:rFonts w:ascii="Times New Roman" w:hAnsi="Times New Roman" w:cs="Times New Roman"/>
          <w:b/>
          <w:bCs/>
        </w:rPr>
        <w:t xml:space="preserve">Supplementary </w:t>
      </w:r>
      <w:r w:rsidRPr="00357A68">
        <w:rPr>
          <w:rFonts w:ascii="Times New Roman" w:hAnsi="Times New Roman" w:cs="Times New Roman"/>
          <w:b/>
          <w:bCs/>
        </w:rPr>
        <w:t>Figure 1.</w:t>
      </w:r>
      <w:r w:rsidRPr="00357A68">
        <w:rPr>
          <w:rFonts w:ascii="Times New Roman" w:hAnsi="Times New Roman" w:cs="Times New Roman"/>
        </w:rPr>
        <w:t xml:space="preserve"> </w:t>
      </w:r>
      <w:proofErr w:type="spellStart"/>
      <w:r w:rsidRPr="00357A68">
        <w:rPr>
          <w:rFonts w:ascii="Times New Roman" w:hAnsi="Times New Roman" w:cs="Times New Roman"/>
        </w:rPr>
        <w:t>Dendrogram</w:t>
      </w:r>
      <w:proofErr w:type="spellEnd"/>
      <w:r w:rsidRPr="00357A68">
        <w:rPr>
          <w:rFonts w:ascii="Times New Roman" w:hAnsi="Times New Roman" w:cs="Times New Roman"/>
        </w:rPr>
        <w:t xml:space="preserve"> generated using Ward’s agglomerative clustering method based on species composition across 25 vegetation plots. Three distinct plant associations were identified: </w:t>
      </w:r>
      <w:proofErr w:type="spellStart"/>
      <w:r w:rsidRPr="00357A68">
        <w:rPr>
          <w:rFonts w:ascii="Times New Roman" w:hAnsi="Times New Roman" w:cs="Times New Roman"/>
          <w:i/>
          <w:iCs/>
        </w:rPr>
        <w:t>Abies</w:t>
      </w:r>
      <w:proofErr w:type="spellEnd"/>
      <w:r w:rsidRPr="00357A68">
        <w:rPr>
          <w:rFonts w:ascii="Times New Roman" w:hAnsi="Times New Roman" w:cs="Times New Roman"/>
          <w:i/>
          <w:iCs/>
        </w:rPr>
        <w:t xml:space="preserve"> </w:t>
      </w:r>
      <w:proofErr w:type="spellStart"/>
      <w:r w:rsidRPr="00357A68">
        <w:rPr>
          <w:rFonts w:ascii="Times New Roman" w:hAnsi="Times New Roman" w:cs="Times New Roman"/>
          <w:i/>
          <w:iCs/>
        </w:rPr>
        <w:t>pindrow</w:t>
      </w:r>
      <w:proofErr w:type="spellEnd"/>
      <w:r w:rsidRPr="00357A68">
        <w:rPr>
          <w:rFonts w:ascii="Times New Roman" w:hAnsi="Times New Roman" w:cs="Times New Roman"/>
          <w:i/>
          <w:iCs/>
        </w:rPr>
        <w:t>-Viburnum-</w:t>
      </w:r>
      <w:proofErr w:type="spellStart"/>
      <w:r w:rsidRPr="00357A68">
        <w:rPr>
          <w:rFonts w:ascii="Times New Roman" w:hAnsi="Times New Roman" w:cs="Times New Roman"/>
          <w:i/>
          <w:iCs/>
        </w:rPr>
        <w:t>grandiflorum</w:t>
      </w:r>
      <w:proofErr w:type="spellEnd"/>
      <w:r w:rsidRPr="00357A68">
        <w:rPr>
          <w:rFonts w:ascii="Times New Roman" w:hAnsi="Times New Roman" w:cs="Times New Roman"/>
          <w:i/>
          <w:iCs/>
        </w:rPr>
        <w:t>-</w:t>
      </w:r>
      <w:proofErr w:type="spellStart"/>
      <w:r w:rsidRPr="00357A68">
        <w:rPr>
          <w:rFonts w:ascii="Times New Roman" w:hAnsi="Times New Roman" w:cs="Times New Roman"/>
          <w:i/>
          <w:iCs/>
        </w:rPr>
        <w:t>Achillea</w:t>
      </w:r>
      <w:proofErr w:type="spellEnd"/>
      <w:r w:rsidRPr="00357A68">
        <w:rPr>
          <w:rFonts w:ascii="Times New Roman" w:hAnsi="Times New Roman" w:cs="Times New Roman"/>
          <w:i/>
          <w:iCs/>
        </w:rPr>
        <w:t xml:space="preserve"> </w:t>
      </w:r>
      <w:proofErr w:type="spellStart"/>
      <w:r w:rsidRPr="00357A68">
        <w:rPr>
          <w:rFonts w:ascii="Times New Roman" w:hAnsi="Times New Roman" w:cs="Times New Roman"/>
          <w:i/>
          <w:iCs/>
        </w:rPr>
        <w:t>millefolium</w:t>
      </w:r>
      <w:proofErr w:type="spellEnd"/>
      <w:r w:rsidRPr="00357A68">
        <w:rPr>
          <w:rFonts w:ascii="Times New Roman" w:hAnsi="Times New Roman" w:cs="Times New Roman"/>
        </w:rPr>
        <w:t xml:space="preserve"> (AVA), </w:t>
      </w:r>
      <w:proofErr w:type="spellStart"/>
      <w:r w:rsidRPr="00357A68">
        <w:rPr>
          <w:rFonts w:ascii="Times New Roman" w:hAnsi="Times New Roman" w:cs="Times New Roman"/>
        </w:rPr>
        <w:t>Swertia</w:t>
      </w:r>
      <w:proofErr w:type="spellEnd"/>
      <w:r w:rsidRPr="00357A68">
        <w:rPr>
          <w:rFonts w:ascii="Times New Roman" w:hAnsi="Times New Roman" w:cs="Times New Roman"/>
        </w:rPr>
        <w:t xml:space="preserve"> </w:t>
      </w:r>
      <w:proofErr w:type="spellStart"/>
      <w:r>
        <w:rPr>
          <w:rFonts w:ascii="Times New Roman" w:hAnsi="Times New Roman" w:cs="Times New Roman"/>
        </w:rPr>
        <w:t>petiolate</w:t>
      </w:r>
      <w:proofErr w:type="spellEnd"/>
      <w:r>
        <w:rPr>
          <w:rFonts w:ascii="Times New Roman" w:hAnsi="Times New Roman" w:cs="Times New Roman"/>
        </w:rPr>
        <w:t>-</w:t>
      </w:r>
      <w:r w:rsidRPr="00357A68">
        <w:rPr>
          <w:rFonts w:ascii="Times New Roman" w:hAnsi="Times New Roman" w:cs="Times New Roman"/>
        </w:rPr>
        <w:t xml:space="preserve">Iris </w:t>
      </w:r>
      <w:proofErr w:type="spellStart"/>
      <w:r w:rsidRPr="00357A68">
        <w:rPr>
          <w:rFonts w:ascii="Times New Roman" w:hAnsi="Times New Roman" w:cs="Times New Roman"/>
        </w:rPr>
        <w:t>kashmiriana</w:t>
      </w:r>
      <w:r>
        <w:rPr>
          <w:rFonts w:ascii="Times New Roman" w:hAnsi="Times New Roman" w:cs="Times New Roman"/>
        </w:rPr>
        <w:t>-</w:t>
      </w:r>
      <w:r w:rsidRPr="00357A68">
        <w:rPr>
          <w:rFonts w:ascii="Times New Roman" w:hAnsi="Times New Roman" w:cs="Times New Roman"/>
        </w:rPr>
        <w:t>Potentilla</w:t>
      </w:r>
      <w:proofErr w:type="spellEnd"/>
      <w:r w:rsidRPr="00357A68">
        <w:rPr>
          <w:rFonts w:ascii="Times New Roman" w:hAnsi="Times New Roman" w:cs="Times New Roman"/>
        </w:rPr>
        <w:t xml:space="preserve"> </w:t>
      </w:r>
      <w:proofErr w:type="spellStart"/>
      <w:r w:rsidRPr="00357A68">
        <w:rPr>
          <w:rFonts w:ascii="Times New Roman" w:hAnsi="Times New Roman" w:cs="Times New Roman"/>
        </w:rPr>
        <w:t>nepalensis</w:t>
      </w:r>
      <w:proofErr w:type="spellEnd"/>
      <w:r w:rsidRPr="00357A68">
        <w:rPr>
          <w:rFonts w:ascii="Times New Roman" w:hAnsi="Times New Roman" w:cs="Times New Roman"/>
        </w:rPr>
        <w:t xml:space="preserve"> (SIP), and </w:t>
      </w:r>
      <w:proofErr w:type="spellStart"/>
      <w:r w:rsidRPr="00357A68">
        <w:rPr>
          <w:rFonts w:ascii="Times New Roman" w:hAnsi="Times New Roman" w:cs="Times New Roman"/>
        </w:rPr>
        <w:t>Pedicularis</w:t>
      </w:r>
      <w:r>
        <w:rPr>
          <w:rFonts w:ascii="Times New Roman" w:hAnsi="Times New Roman" w:cs="Times New Roman"/>
        </w:rPr>
        <w:t>-</w:t>
      </w:r>
      <w:r w:rsidRPr="00357A68">
        <w:rPr>
          <w:rFonts w:ascii="Times New Roman" w:hAnsi="Times New Roman" w:cs="Times New Roman"/>
        </w:rPr>
        <w:t>pectinata</w:t>
      </w:r>
      <w:r>
        <w:rPr>
          <w:rFonts w:ascii="Times New Roman" w:hAnsi="Times New Roman" w:cs="Times New Roman"/>
        </w:rPr>
        <w:t>-</w:t>
      </w:r>
      <w:r w:rsidRPr="00357A68">
        <w:rPr>
          <w:rFonts w:ascii="Times New Roman" w:hAnsi="Times New Roman" w:cs="Times New Roman"/>
        </w:rPr>
        <w:t>Juncus</w:t>
      </w:r>
      <w:proofErr w:type="spellEnd"/>
      <w:r w:rsidRPr="00357A68">
        <w:rPr>
          <w:rFonts w:ascii="Times New Roman" w:hAnsi="Times New Roman" w:cs="Times New Roman"/>
        </w:rPr>
        <w:t xml:space="preserve"> </w:t>
      </w:r>
      <w:proofErr w:type="spellStart"/>
      <w:r w:rsidRPr="00357A68">
        <w:rPr>
          <w:rFonts w:ascii="Times New Roman" w:hAnsi="Times New Roman" w:cs="Times New Roman"/>
        </w:rPr>
        <w:t>himalensis</w:t>
      </w:r>
      <w:r>
        <w:rPr>
          <w:rFonts w:ascii="Times New Roman" w:hAnsi="Times New Roman" w:cs="Times New Roman"/>
        </w:rPr>
        <w:t>-</w:t>
      </w:r>
      <w:r w:rsidRPr="00357A68">
        <w:rPr>
          <w:rFonts w:ascii="Times New Roman" w:hAnsi="Times New Roman" w:cs="Times New Roman"/>
        </w:rPr>
        <w:t>Parnassia</w:t>
      </w:r>
      <w:proofErr w:type="spellEnd"/>
      <w:r w:rsidRPr="00357A68">
        <w:rPr>
          <w:rFonts w:ascii="Times New Roman" w:hAnsi="Times New Roman" w:cs="Times New Roman"/>
        </w:rPr>
        <w:t xml:space="preserve"> </w:t>
      </w:r>
      <w:proofErr w:type="spellStart"/>
      <w:r w:rsidRPr="00357A68">
        <w:rPr>
          <w:rFonts w:ascii="Times New Roman" w:hAnsi="Times New Roman" w:cs="Times New Roman"/>
        </w:rPr>
        <w:t>nubicola</w:t>
      </w:r>
      <w:proofErr w:type="spellEnd"/>
      <w:r w:rsidRPr="00357A68">
        <w:rPr>
          <w:rFonts w:ascii="Times New Roman" w:hAnsi="Times New Roman" w:cs="Times New Roman"/>
        </w:rPr>
        <w:t xml:space="preserve"> (PJP). The color-coded branches represent the grouping of sites corresponding to each association.</w:t>
      </w:r>
    </w:p>
    <w:p w14:paraId="76DCA3D6" w14:textId="7E954A13" w:rsidR="00550706" w:rsidRDefault="00550706" w:rsidP="0051028F">
      <w:pPr>
        <w:jc w:val="both"/>
        <w:rPr>
          <w:rFonts w:ascii="Times New Roman" w:hAnsi="Times New Roman" w:cs="Times New Roman"/>
        </w:rPr>
      </w:pPr>
      <w:r>
        <w:rPr>
          <w:rFonts w:ascii="Times New Roman" w:hAnsi="Times New Roman" w:cs="Times New Roman"/>
          <w:noProof/>
        </w:rPr>
        <w:lastRenderedPageBreak/>
        <w:drawing>
          <wp:inline distT="0" distB="0" distL="0" distR="0" wp14:anchorId="4047A740" wp14:editId="4C92B52E">
            <wp:extent cx="5943600" cy="5722620"/>
            <wp:effectExtent l="19050" t="19050" r="19050" b="1143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5722620"/>
                    </a:xfrm>
                    <a:prstGeom prst="rect">
                      <a:avLst/>
                    </a:prstGeom>
                    <a:ln>
                      <a:solidFill>
                        <a:schemeClr val="tx1"/>
                      </a:solidFill>
                    </a:ln>
                  </pic:spPr>
                </pic:pic>
              </a:graphicData>
            </a:graphic>
          </wp:inline>
        </w:drawing>
      </w:r>
    </w:p>
    <w:p w14:paraId="27553102" w14:textId="00355305" w:rsidR="0051028F" w:rsidRDefault="0051028F" w:rsidP="0051028F">
      <w:pPr>
        <w:jc w:val="both"/>
        <w:rPr>
          <w:rFonts w:ascii="Times New Roman" w:hAnsi="Times New Roman" w:cs="Times New Roman"/>
        </w:rPr>
      </w:pPr>
      <w:r w:rsidRPr="009045EB">
        <w:rPr>
          <w:rFonts w:ascii="Times New Roman" w:hAnsi="Times New Roman" w:cs="Times New Roman"/>
          <w:b/>
        </w:rPr>
        <w:t>Supplementary Figure 2.</w:t>
      </w:r>
      <w:r w:rsidRPr="0051028F">
        <w:rPr>
          <w:rFonts w:ascii="Times New Roman" w:hAnsi="Times New Roman" w:cs="Times New Roman"/>
        </w:rPr>
        <w:t xml:space="preserve"> Canonical correspondence analysis (CCA) </w:t>
      </w:r>
      <w:proofErr w:type="spellStart"/>
      <w:r w:rsidRPr="0051028F">
        <w:rPr>
          <w:rFonts w:ascii="Times New Roman" w:hAnsi="Times New Roman" w:cs="Times New Roman"/>
        </w:rPr>
        <w:t>triplots</w:t>
      </w:r>
      <w:proofErr w:type="spellEnd"/>
      <w:r w:rsidRPr="0051028F">
        <w:rPr>
          <w:rFonts w:ascii="Times New Roman" w:hAnsi="Times New Roman" w:cs="Times New Roman"/>
        </w:rPr>
        <w:t xml:space="preserve"> showing the relationship between environmental/threat variables and species composition for the </w:t>
      </w:r>
      <w:proofErr w:type="spellStart"/>
      <w:r w:rsidRPr="0051028F">
        <w:rPr>
          <w:rFonts w:ascii="Times New Roman" w:hAnsi="Times New Roman" w:cs="Times New Roman"/>
          <w:i/>
          <w:iCs/>
        </w:rPr>
        <w:t>Abies</w:t>
      </w:r>
      <w:proofErr w:type="spellEnd"/>
      <w:r w:rsidRPr="0051028F">
        <w:rPr>
          <w:rFonts w:ascii="Times New Roman" w:hAnsi="Times New Roman" w:cs="Times New Roman"/>
          <w:i/>
          <w:iCs/>
        </w:rPr>
        <w:t xml:space="preserve"> </w:t>
      </w:r>
      <w:proofErr w:type="spellStart"/>
      <w:r w:rsidRPr="0051028F">
        <w:rPr>
          <w:rFonts w:ascii="Times New Roman" w:hAnsi="Times New Roman" w:cs="Times New Roman"/>
          <w:i/>
          <w:iCs/>
        </w:rPr>
        <w:t>pindrow</w:t>
      </w:r>
      <w:proofErr w:type="spellEnd"/>
      <w:r w:rsidR="00A46561" w:rsidRPr="00A46561">
        <w:rPr>
          <w:rFonts w:ascii="Times New Roman" w:hAnsi="Times New Roman" w:cs="Times New Roman"/>
          <w:i/>
          <w:iCs/>
        </w:rPr>
        <w:t>-</w:t>
      </w:r>
      <w:r w:rsidRPr="0051028F">
        <w:rPr>
          <w:rFonts w:ascii="Times New Roman" w:hAnsi="Times New Roman" w:cs="Times New Roman"/>
          <w:i/>
          <w:iCs/>
        </w:rPr>
        <w:t xml:space="preserve">Viburnum </w:t>
      </w:r>
      <w:proofErr w:type="spellStart"/>
      <w:r w:rsidRPr="0051028F">
        <w:rPr>
          <w:rFonts w:ascii="Times New Roman" w:hAnsi="Times New Roman" w:cs="Times New Roman"/>
          <w:i/>
          <w:iCs/>
        </w:rPr>
        <w:t>grandiflorum</w:t>
      </w:r>
      <w:r w:rsidR="00A46561" w:rsidRPr="00A46561">
        <w:rPr>
          <w:rFonts w:ascii="Times New Roman" w:hAnsi="Times New Roman" w:cs="Times New Roman"/>
          <w:i/>
          <w:iCs/>
        </w:rPr>
        <w:t>-</w:t>
      </w:r>
      <w:r w:rsidRPr="0051028F">
        <w:rPr>
          <w:rFonts w:ascii="Times New Roman" w:hAnsi="Times New Roman" w:cs="Times New Roman"/>
          <w:i/>
          <w:iCs/>
        </w:rPr>
        <w:t>Achillea</w:t>
      </w:r>
      <w:proofErr w:type="spellEnd"/>
      <w:r w:rsidRPr="0051028F">
        <w:rPr>
          <w:rFonts w:ascii="Times New Roman" w:hAnsi="Times New Roman" w:cs="Times New Roman"/>
          <w:i/>
          <w:iCs/>
        </w:rPr>
        <w:t xml:space="preserve"> </w:t>
      </w:r>
      <w:proofErr w:type="spellStart"/>
      <w:r w:rsidRPr="0051028F">
        <w:rPr>
          <w:rFonts w:ascii="Times New Roman" w:hAnsi="Times New Roman" w:cs="Times New Roman"/>
          <w:i/>
          <w:iCs/>
        </w:rPr>
        <w:t>millefolium</w:t>
      </w:r>
      <w:proofErr w:type="spellEnd"/>
      <w:r w:rsidRPr="0051028F">
        <w:rPr>
          <w:rFonts w:ascii="Times New Roman" w:hAnsi="Times New Roman" w:cs="Times New Roman"/>
        </w:rPr>
        <w:t xml:space="preserve"> (AVA) association. Arrows represent the direction and strength of environmental gradients. Orange circles indicate AVA plots, highlighting their association with disturbance factors such as fire, erosion, nomadic settlements, and deforestation.</w:t>
      </w:r>
    </w:p>
    <w:p w14:paraId="65FF5B4E" w14:textId="1BD8DA79" w:rsidR="00550706" w:rsidRPr="0051028F" w:rsidRDefault="00550706" w:rsidP="0051028F">
      <w:pPr>
        <w:jc w:val="both"/>
        <w:rPr>
          <w:rFonts w:ascii="Times New Roman" w:hAnsi="Times New Roman" w:cs="Times New Roman"/>
        </w:rPr>
      </w:pPr>
      <w:r>
        <w:rPr>
          <w:rFonts w:ascii="Times New Roman" w:hAnsi="Times New Roman" w:cs="Times New Roman"/>
          <w:noProof/>
        </w:rPr>
        <w:lastRenderedPageBreak/>
        <w:drawing>
          <wp:inline distT="0" distB="0" distL="0" distR="0" wp14:anchorId="6942203B" wp14:editId="5969D810">
            <wp:extent cx="5943600" cy="5681345"/>
            <wp:effectExtent l="19050" t="19050" r="19050" b="14605"/>
            <wp:docPr id="3" name="Picture 3" descr="A collage of multiple images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lage of multiple images of a graph&#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5681345"/>
                    </a:xfrm>
                    <a:prstGeom prst="rect">
                      <a:avLst/>
                    </a:prstGeom>
                    <a:ln>
                      <a:solidFill>
                        <a:schemeClr val="tx1"/>
                      </a:solidFill>
                    </a:ln>
                  </pic:spPr>
                </pic:pic>
              </a:graphicData>
            </a:graphic>
          </wp:inline>
        </w:drawing>
      </w:r>
    </w:p>
    <w:p w14:paraId="0A45D6B9" w14:textId="3AE7036E" w:rsidR="0051028F" w:rsidRDefault="00550706" w:rsidP="0051028F">
      <w:pPr>
        <w:jc w:val="both"/>
        <w:rPr>
          <w:rFonts w:ascii="Times New Roman" w:hAnsi="Times New Roman" w:cs="Times New Roman"/>
        </w:rPr>
      </w:pPr>
      <w:r w:rsidRPr="009045EB">
        <w:rPr>
          <w:rFonts w:ascii="Times New Roman" w:hAnsi="Times New Roman" w:cs="Times New Roman"/>
          <w:b/>
        </w:rPr>
        <w:t>Supplementary Figure 3</w:t>
      </w:r>
      <w:r w:rsidR="0051028F" w:rsidRPr="009045EB">
        <w:rPr>
          <w:rFonts w:ascii="Times New Roman" w:hAnsi="Times New Roman" w:cs="Times New Roman"/>
          <w:b/>
        </w:rPr>
        <w:t>.</w:t>
      </w:r>
      <w:r w:rsidR="0051028F" w:rsidRPr="0051028F">
        <w:rPr>
          <w:rFonts w:ascii="Times New Roman" w:hAnsi="Times New Roman" w:cs="Times New Roman"/>
        </w:rPr>
        <w:t xml:space="preserve"> CCA </w:t>
      </w:r>
      <w:proofErr w:type="spellStart"/>
      <w:r w:rsidR="0051028F" w:rsidRPr="0051028F">
        <w:rPr>
          <w:rFonts w:ascii="Times New Roman" w:hAnsi="Times New Roman" w:cs="Times New Roman"/>
        </w:rPr>
        <w:t>triplots</w:t>
      </w:r>
      <w:proofErr w:type="spellEnd"/>
      <w:r w:rsidR="0051028F" w:rsidRPr="0051028F">
        <w:rPr>
          <w:rFonts w:ascii="Times New Roman" w:hAnsi="Times New Roman" w:cs="Times New Roman"/>
        </w:rPr>
        <w:t xml:space="preserve"> for the </w:t>
      </w:r>
      <w:proofErr w:type="spellStart"/>
      <w:r w:rsidR="0051028F" w:rsidRPr="0051028F">
        <w:rPr>
          <w:rFonts w:ascii="Times New Roman" w:hAnsi="Times New Roman" w:cs="Times New Roman"/>
          <w:i/>
          <w:iCs/>
        </w:rPr>
        <w:t>Swertia</w:t>
      </w:r>
      <w:proofErr w:type="spellEnd"/>
      <w:r w:rsidR="00A46561" w:rsidRPr="00A46561">
        <w:rPr>
          <w:rFonts w:ascii="Times New Roman" w:hAnsi="Times New Roman" w:cs="Times New Roman"/>
          <w:i/>
          <w:iCs/>
        </w:rPr>
        <w:t>-</w:t>
      </w:r>
      <w:proofErr w:type="spellStart"/>
      <w:r w:rsidR="0051028F" w:rsidRPr="0051028F">
        <w:rPr>
          <w:rFonts w:ascii="Times New Roman" w:hAnsi="Times New Roman" w:cs="Times New Roman"/>
          <w:i/>
          <w:iCs/>
        </w:rPr>
        <w:t>petiolata</w:t>
      </w:r>
      <w:proofErr w:type="spellEnd"/>
      <w:r w:rsidR="00A46561" w:rsidRPr="00A46561">
        <w:rPr>
          <w:rFonts w:ascii="Times New Roman" w:hAnsi="Times New Roman" w:cs="Times New Roman"/>
          <w:i/>
          <w:iCs/>
        </w:rPr>
        <w:t>-</w:t>
      </w:r>
      <w:r w:rsidR="0051028F" w:rsidRPr="0051028F">
        <w:rPr>
          <w:rFonts w:ascii="Times New Roman" w:hAnsi="Times New Roman" w:cs="Times New Roman"/>
          <w:i/>
          <w:iCs/>
        </w:rPr>
        <w:t xml:space="preserve">Iris </w:t>
      </w:r>
      <w:proofErr w:type="spellStart"/>
      <w:r w:rsidR="0051028F" w:rsidRPr="0051028F">
        <w:rPr>
          <w:rFonts w:ascii="Times New Roman" w:hAnsi="Times New Roman" w:cs="Times New Roman"/>
          <w:i/>
          <w:iCs/>
        </w:rPr>
        <w:t>kashmiriana</w:t>
      </w:r>
      <w:r w:rsidR="00A46561" w:rsidRPr="00A46561">
        <w:rPr>
          <w:rFonts w:ascii="Times New Roman" w:hAnsi="Times New Roman" w:cs="Times New Roman"/>
          <w:i/>
          <w:iCs/>
        </w:rPr>
        <w:t>-</w:t>
      </w:r>
      <w:r w:rsidR="0051028F" w:rsidRPr="0051028F">
        <w:rPr>
          <w:rFonts w:ascii="Times New Roman" w:hAnsi="Times New Roman" w:cs="Times New Roman"/>
          <w:i/>
          <w:iCs/>
        </w:rPr>
        <w:t>Potentilla</w:t>
      </w:r>
      <w:proofErr w:type="spellEnd"/>
      <w:r w:rsidR="0051028F" w:rsidRPr="0051028F">
        <w:rPr>
          <w:rFonts w:ascii="Times New Roman" w:hAnsi="Times New Roman" w:cs="Times New Roman"/>
          <w:i/>
          <w:iCs/>
        </w:rPr>
        <w:t xml:space="preserve"> </w:t>
      </w:r>
      <w:proofErr w:type="spellStart"/>
      <w:r w:rsidR="0051028F" w:rsidRPr="0051028F">
        <w:rPr>
          <w:rFonts w:ascii="Times New Roman" w:hAnsi="Times New Roman" w:cs="Times New Roman"/>
          <w:i/>
          <w:iCs/>
        </w:rPr>
        <w:t>nepalensis</w:t>
      </w:r>
      <w:proofErr w:type="spellEnd"/>
      <w:r w:rsidR="0051028F" w:rsidRPr="0051028F">
        <w:rPr>
          <w:rFonts w:ascii="Times New Roman" w:hAnsi="Times New Roman" w:cs="Times New Roman"/>
        </w:rPr>
        <w:t xml:space="preserve"> (SIP) association. Green circles represent SIP plots, which are primarily aligned with the altitude vector, indicating strong elevation-driven community structure. Additional vectors suggest moderate influence from deforestation, grazing, and NTFP extraction on this mid-elevation vegetation group.</w:t>
      </w:r>
    </w:p>
    <w:p w14:paraId="2812C966" w14:textId="6B1FEA50" w:rsidR="00550706" w:rsidRPr="0051028F" w:rsidRDefault="00550706" w:rsidP="0051028F">
      <w:pPr>
        <w:jc w:val="both"/>
        <w:rPr>
          <w:rFonts w:ascii="Times New Roman" w:hAnsi="Times New Roman" w:cs="Times New Roman"/>
        </w:rPr>
      </w:pPr>
      <w:r>
        <w:rPr>
          <w:rFonts w:ascii="Times New Roman" w:hAnsi="Times New Roman" w:cs="Times New Roman"/>
          <w:noProof/>
        </w:rPr>
        <w:lastRenderedPageBreak/>
        <w:drawing>
          <wp:inline distT="0" distB="0" distL="0" distR="0" wp14:anchorId="426CF0E1" wp14:editId="5203087F">
            <wp:extent cx="5943600" cy="5735955"/>
            <wp:effectExtent l="19050" t="19050" r="19050" b="17145"/>
            <wp:docPr id="4" name="Picture 4" descr="A diagram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diagram of a graph&#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5735955"/>
                    </a:xfrm>
                    <a:prstGeom prst="rect">
                      <a:avLst/>
                    </a:prstGeom>
                    <a:ln>
                      <a:solidFill>
                        <a:schemeClr val="tx1"/>
                      </a:solidFill>
                    </a:ln>
                  </pic:spPr>
                </pic:pic>
              </a:graphicData>
            </a:graphic>
          </wp:inline>
        </w:drawing>
      </w:r>
    </w:p>
    <w:p w14:paraId="344B2524" w14:textId="0FB0E839" w:rsidR="0051028F" w:rsidRPr="0051028F" w:rsidRDefault="00550706" w:rsidP="0051028F">
      <w:pPr>
        <w:jc w:val="both"/>
        <w:rPr>
          <w:rFonts w:ascii="Times New Roman" w:hAnsi="Times New Roman" w:cs="Times New Roman"/>
        </w:rPr>
      </w:pPr>
      <w:r w:rsidRPr="00B037C4">
        <w:rPr>
          <w:rFonts w:ascii="Times New Roman" w:hAnsi="Times New Roman" w:cs="Times New Roman"/>
          <w:b/>
        </w:rPr>
        <w:t>Supplementary Figure 4</w:t>
      </w:r>
      <w:r w:rsidR="0051028F" w:rsidRPr="00B037C4">
        <w:rPr>
          <w:rFonts w:ascii="Times New Roman" w:hAnsi="Times New Roman" w:cs="Times New Roman"/>
          <w:b/>
        </w:rPr>
        <w:t>.</w:t>
      </w:r>
      <w:r w:rsidR="0051028F" w:rsidRPr="0051028F">
        <w:rPr>
          <w:rFonts w:ascii="Times New Roman" w:hAnsi="Times New Roman" w:cs="Times New Roman"/>
        </w:rPr>
        <w:t xml:space="preserve"> CCA </w:t>
      </w:r>
      <w:proofErr w:type="spellStart"/>
      <w:r w:rsidR="0051028F" w:rsidRPr="0051028F">
        <w:rPr>
          <w:rFonts w:ascii="Times New Roman" w:hAnsi="Times New Roman" w:cs="Times New Roman"/>
        </w:rPr>
        <w:t>triplots</w:t>
      </w:r>
      <w:proofErr w:type="spellEnd"/>
      <w:r w:rsidR="0051028F" w:rsidRPr="0051028F">
        <w:rPr>
          <w:rFonts w:ascii="Times New Roman" w:hAnsi="Times New Roman" w:cs="Times New Roman"/>
        </w:rPr>
        <w:t xml:space="preserve"> for the </w:t>
      </w:r>
      <w:proofErr w:type="spellStart"/>
      <w:r w:rsidR="0051028F" w:rsidRPr="0051028F">
        <w:rPr>
          <w:rFonts w:ascii="Times New Roman" w:hAnsi="Times New Roman" w:cs="Times New Roman"/>
          <w:i/>
          <w:iCs/>
        </w:rPr>
        <w:t>Pedicularis</w:t>
      </w:r>
      <w:r w:rsidR="00A46561" w:rsidRPr="00A46561">
        <w:rPr>
          <w:rFonts w:ascii="Times New Roman" w:hAnsi="Times New Roman" w:cs="Times New Roman"/>
          <w:i/>
          <w:iCs/>
        </w:rPr>
        <w:t>-</w:t>
      </w:r>
      <w:r w:rsidR="0051028F" w:rsidRPr="0051028F">
        <w:rPr>
          <w:rFonts w:ascii="Times New Roman" w:hAnsi="Times New Roman" w:cs="Times New Roman"/>
          <w:i/>
          <w:iCs/>
        </w:rPr>
        <w:t>pectinata</w:t>
      </w:r>
      <w:r w:rsidR="00A46561" w:rsidRPr="00A46561">
        <w:rPr>
          <w:rFonts w:ascii="Times New Roman" w:hAnsi="Times New Roman" w:cs="Times New Roman"/>
          <w:i/>
          <w:iCs/>
        </w:rPr>
        <w:t>-</w:t>
      </w:r>
      <w:r w:rsidR="0051028F" w:rsidRPr="0051028F">
        <w:rPr>
          <w:rFonts w:ascii="Times New Roman" w:hAnsi="Times New Roman" w:cs="Times New Roman"/>
          <w:i/>
          <w:iCs/>
        </w:rPr>
        <w:t>Juncus</w:t>
      </w:r>
      <w:proofErr w:type="spellEnd"/>
      <w:r w:rsidR="0051028F" w:rsidRPr="0051028F">
        <w:rPr>
          <w:rFonts w:ascii="Times New Roman" w:hAnsi="Times New Roman" w:cs="Times New Roman"/>
          <w:i/>
          <w:iCs/>
        </w:rPr>
        <w:t xml:space="preserve"> </w:t>
      </w:r>
      <w:proofErr w:type="spellStart"/>
      <w:r w:rsidR="0051028F" w:rsidRPr="0051028F">
        <w:rPr>
          <w:rFonts w:ascii="Times New Roman" w:hAnsi="Times New Roman" w:cs="Times New Roman"/>
          <w:i/>
          <w:iCs/>
        </w:rPr>
        <w:t>himalensis</w:t>
      </w:r>
      <w:r w:rsidR="00A46561" w:rsidRPr="00A46561">
        <w:rPr>
          <w:rFonts w:ascii="Times New Roman" w:hAnsi="Times New Roman" w:cs="Times New Roman"/>
          <w:i/>
          <w:iCs/>
        </w:rPr>
        <w:t>-</w:t>
      </w:r>
      <w:r w:rsidR="0051028F" w:rsidRPr="0051028F">
        <w:rPr>
          <w:rFonts w:ascii="Times New Roman" w:hAnsi="Times New Roman" w:cs="Times New Roman"/>
          <w:i/>
          <w:iCs/>
        </w:rPr>
        <w:t>Parnassia</w:t>
      </w:r>
      <w:proofErr w:type="spellEnd"/>
      <w:r w:rsidR="0051028F" w:rsidRPr="0051028F">
        <w:rPr>
          <w:rFonts w:ascii="Times New Roman" w:hAnsi="Times New Roman" w:cs="Times New Roman"/>
        </w:rPr>
        <w:t xml:space="preserve"> </w:t>
      </w:r>
      <w:proofErr w:type="spellStart"/>
      <w:r w:rsidR="0051028F" w:rsidRPr="0051028F">
        <w:rPr>
          <w:rFonts w:ascii="Times New Roman" w:hAnsi="Times New Roman" w:cs="Times New Roman"/>
          <w:i/>
          <w:iCs/>
        </w:rPr>
        <w:t>nubicola</w:t>
      </w:r>
      <w:proofErr w:type="spellEnd"/>
      <w:r w:rsidR="0051028F" w:rsidRPr="0051028F">
        <w:rPr>
          <w:rFonts w:ascii="Times New Roman" w:hAnsi="Times New Roman" w:cs="Times New Roman"/>
        </w:rPr>
        <w:t xml:space="preserve"> (PJP) association. Magenta diamonds indicate PJP plots, showing a clear alignment with the altitude axis. The direction of vectors such as illegal trade, nomadic settlements, and grazing also suggests that anthropogenic pressures extend into these high-altitude ecosystems.</w:t>
      </w:r>
    </w:p>
    <w:p w14:paraId="0FB812C4" w14:textId="77777777" w:rsidR="0051028F" w:rsidRDefault="0051028F" w:rsidP="00357A68">
      <w:pPr>
        <w:jc w:val="both"/>
        <w:rPr>
          <w:rFonts w:ascii="Times New Roman" w:hAnsi="Times New Roman" w:cs="Times New Roman"/>
        </w:rPr>
      </w:pPr>
    </w:p>
    <w:p w14:paraId="5F424C87" w14:textId="46FA33F1" w:rsidR="006D549B" w:rsidRDefault="006D549B" w:rsidP="00357A68">
      <w:pPr>
        <w:jc w:val="both"/>
        <w:rPr>
          <w:rFonts w:ascii="Times New Roman" w:hAnsi="Times New Roman" w:cs="Times New Roman"/>
        </w:rPr>
      </w:pPr>
      <w:r>
        <w:rPr>
          <w:rFonts w:ascii="Times New Roman" w:hAnsi="Times New Roman" w:cs="Times New Roman"/>
          <w:noProof/>
        </w:rPr>
        <w:lastRenderedPageBreak/>
        <w:drawing>
          <wp:inline distT="0" distB="0" distL="0" distR="0" wp14:anchorId="07A779D3" wp14:editId="7628407A">
            <wp:extent cx="5943600" cy="5362575"/>
            <wp:effectExtent l="19050" t="19050" r="19050" b="285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
                      <a:extLst>
                        <a:ext uri="{28A0092B-C50C-407E-A947-70E740481C1C}">
                          <a14:useLocalDpi xmlns:a14="http://schemas.microsoft.com/office/drawing/2010/main" val="0"/>
                        </a:ext>
                      </a:extLst>
                    </a:blip>
                    <a:stretch>
                      <a:fillRect/>
                    </a:stretch>
                  </pic:blipFill>
                  <pic:spPr>
                    <a:xfrm>
                      <a:off x="0" y="0"/>
                      <a:ext cx="5943600" cy="5362575"/>
                    </a:xfrm>
                    <a:prstGeom prst="rect">
                      <a:avLst/>
                    </a:prstGeom>
                    <a:ln>
                      <a:solidFill>
                        <a:schemeClr val="tx1"/>
                      </a:solidFill>
                    </a:ln>
                  </pic:spPr>
                </pic:pic>
              </a:graphicData>
            </a:graphic>
          </wp:inline>
        </w:drawing>
      </w:r>
    </w:p>
    <w:p w14:paraId="51200E1B" w14:textId="7621A825" w:rsidR="006D549B" w:rsidRPr="006D549B" w:rsidRDefault="006D549B" w:rsidP="006D549B">
      <w:pPr>
        <w:jc w:val="both"/>
        <w:rPr>
          <w:rFonts w:ascii="Times New Roman" w:hAnsi="Times New Roman" w:cs="Times New Roman"/>
        </w:rPr>
      </w:pPr>
      <w:r>
        <w:rPr>
          <w:rFonts w:ascii="Times New Roman" w:hAnsi="Times New Roman" w:cs="Times New Roman"/>
          <w:b/>
          <w:bCs/>
        </w:rPr>
        <w:t>Supplementary Figure</w:t>
      </w:r>
      <w:r w:rsidRPr="006D549B">
        <w:rPr>
          <w:rFonts w:ascii="Times New Roman" w:hAnsi="Times New Roman" w:cs="Times New Roman"/>
          <w:b/>
          <w:bCs/>
        </w:rPr>
        <w:t xml:space="preserve"> </w:t>
      </w:r>
      <w:r>
        <w:rPr>
          <w:rFonts w:ascii="Times New Roman" w:hAnsi="Times New Roman" w:cs="Times New Roman"/>
          <w:b/>
          <w:bCs/>
        </w:rPr>
        <w:t>5</w:t>
      </w:r>
      <w:r w:rsidRPr="006D549B">
        <w:rPr>
          <w:rFonts w:ascii="Times New Roman" w:hAnsi="Times New Roman" w:cs="Times New Roman"/>
          <w:b/>
          <w:bCs/>
        </w:rPr>
        <w:t>.</w:t>
      </w:r>
      <w:r w:rsidRPr="006D549B">
        <w:rPr>
          <w:rFonts w:ascii="Times New Roman" w:hAnsi="Times New Roman" w:cs="Times New Roman"/>
        </w:rPr>
        <w:t xml:space="preserve"> Jackknife test of variable importance for </w:t>
      </w:r>
      <w:r w:rsidRPr="006D549B">
        <w:rPr>
          <w:rFonts w:ascii="Times New Roman" w:hAnsi="Times New Roman" w:cs="Times New Roman"/>
          <w:i/>
          <w:iCs/>
        </w:rPr>
        <w:t xml:space="preserve">Aconitum </w:t>
      </w:r>
      <w:proofErr w:type="spellStart"/>
      <w:r w:rsidRPr="006D549B">
        <w:rPr>
          <w:rFonts w:ascii="Times New Roman" w:hAnsi="Times New Roman" w:cs="Times New Roman"/>
          <w:i/>
          <w:iCs/>
        </w:rPr>
        <w:t>heterophyllum</w:t>
      </w:r>
      <w:proofErr w:type="spellEnd"/>
      <w:r w:rsidRPr="006D549B">
        <w:rPr>
          <w:rFonts w:ascii="Times New Roman" w:hAnsi="Times New Roman" w:cs="Times New Roman"/>
        </w:rPr>
        <w:t xml:space="preserve"> based on </w:t>
      </w:r>
      <w:proofErr w:type="spellStart"/>
      <w:r w:rsidRPr="006D549B">
        <w:rPr>
          <w:rFonts w:ascii="Times New Roman" w:hAnsi="Times New Roman" w:cs="Times New Roman"/>
        </w:rPr>
        <w:t>MaxEnt</w:t>
      </w:r>
      <w:proofErr w:type="spellEnd"/>
      <w:r w:rsidRPr="006D549B">
        <w:rPr>
          <w:rFonts w:ascii="Times New Roman" w:hAnsi="Times New Roman" w:cs="Times New Roman"/>
        </w:rPr>
        <w:t xml:space="preserve"> modelling. Bars represent the regularized training gain (top), test AUC (middle), and test gain (bottom) for each bioclimatic variable when used in isolation (dark blue), excluded from the model (light blue), or used in combination with all variables (red). Bio5 (maximum temperature of warmest month) contributed the most information individually and led to the greatest drop in model performance when omitted, indicating it is the most influential variable. Bio18 (precipitation of warmest quarter) also added complementary information, while bio11 (mean temperature of coldest quarter) and bio2 (mean diurnal range) had lesser impacts.</w:t>
      </w:r>
    </w:p>
    <w:p w14:paraId="564A96F6" w14:textId="23914BC3" w:rsidR="006D549B" w:rsidRDefault="006D549B" w:rsidP="00357A68">
      <w:pPr>
        <w:jc w:val="both"/>
        <w:rPr>
          <w:rFonts w:ascii="Times New Roman" w:hAnsi="Times New Roman" w:cs="Times New Roman"/>
        </w:rPr>
      </w:pPr>
      <w:r>
        <w:rPr>
          <w:rFonts w:ascii="Times New Roman" w:hAnsi="Times New Roman" w:cs="Times New Roman"/>
          <w:noProof/>
        </w:rPr>
        <w:lastRenderedPageBreak/>
        <w:drawing>
          <wp:inline distT="0" distB="0" distL="0" distR="0" wp14:anchorId="181436A2" wp14:editId="12ABE246">
            <wp:extent cx="5943600" cy="4101465"/>
            <wp:effectExtent l="19050" t="19050" r="19050" b="13335"/>
            <wp:docPr id="6" name="Picture 6" descr="A graph of a fun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aph of a function&#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5943600" cy="4101465"/>
                    </a:xfrm>
                    <a:prstGeom prst="rect">
                      <a:avLst/>
                    </a:prstGeom>
                    <a:ln>
                      <a:solidFill>
                        <a:schemeClr val="tx1"/>
                      </a:solidFill>
                    </a:ln>
                  </pic:spPr>
                </pic:pic>
              </a:graphicData>
            </a:graphic>
          </wp:inline>
        </w:drawing>
      </w:r>
    </w:p>
    <w:p w14:paraId="703AC2CC" w14:textId="6EA5A1EE" w:rsidR="006D549B" w:rsidRPr="00357A68" w:rsidRDefault="001878D1" w:rsidP="00357A68">
      <w:pPr>
        <w:jc w:val="both"/>
        <w:rPr>
          <w:rFonts w:ascii="Times New Roman" w:hAnsi="Times New Roman" w:cs="Times New Roman"/>
        </w:rPr>
      </w:pPr>
      <w:r>
        <w:rPr>
          <w:rFonts w:ascii="Times New Roman" w:hAnsi="Times New Roman" w:cs="Times New Roman"/>
          <w:b/>
          <w:bCs/>
        </w:rPr>
        <w:t>Supplementary F</w:t>
      </w:r>
      <w:r w:rsidR="006D549B" w:rsidRPr="006D549B">
        <w:rPr>
          <w:rFonts w:ascii="Times New Roman" w:hAnsi="Times New Roman" w:cs="Times New Roman"/>
          <w:b/>
          <w:bCs/>
        </w:rPr>
        <w:t xml:space="preserve">igure </w:t>
      </w:r>
      <w:r w:rsidR="006D549B">
        <w:rPr>
          <w:rFonts w:ascii="Times New Roman" w:hAnsi="Times New Roman" w:cs="Times New Roman"/>
          <w:b/>
          <w:bCs/>
        </w:rPr>
        <w:t>6</w:t>
      </w:r>
      <w:r w:rsidR="006D549B" w:rsidRPr="006D549B">
        <w:rPr>
          <w:rFonts w:ascii="Times New Roman" w:hAnsi="Times New Roman" w:cs="Times New Roman"/>
          <w:b/>
          <w:bCs/>
        </w:rPr>
        <w:t>.</w:t>
      </w:r>
      <w:r w:rsidR="006D549B" w:rsidRPr="006D549B">
        <w:rPr>
          <w:rFonts w:ascii="Times New Roman" w:hAnsi="Times New Roman" w:cs="Times New Roman"/>
        </w:rPr>
        <w:t xml:space="preserve"> Response curves showing the influence of individual bioclimatic variables on the predicted suitability for </w:t>
      </w:r>
      <w:r w:rsidR="006D549B" w:rsidRPr="006D549B">
        <w:rPr>
          <w:rFonts w:ascii="Times New Roman" w:hAnsi="Times New Roman" w:cs="Times New Roman"/>
          <w:i/>
          <w:iCs/>
        </w:rPr>
        <w:t xml:space="preserve">Aconitum </w:t>
      </w:r>
      <w:proofErr w:type="spellStart"/>
      <w:r w:rsidR="006D549B" w:rsidRPr="006D549B">
        <w:rPr>
          <w:rFonts w:ascii="Times New Roman" w:hAnsi="Times New Roman" w:cs="Times New Roman"/>
          <w:i/>
          <w:iCs/>
        </w:rPr>
        <w:t>heterophyllum</w:t>
      </w:r>
      <w:proofErr w:type="spellEnd"/>
      <w:r w:rsidR="006D549B" w:rsidRPr="006D549B">
        <w:rPr>
          <w:rFonts w:ascii="Times New Roman" w:hAnsi="Times New Roman" w:cs="Times New Roman"/>
        </w:rPr>
        <w:t xml:space="preserve">, derived from </w:t>
      </w:r>
      <w:proofErr w:type="spellStart"/>
      <w:r w:rsidR="006D549B" w:rsidRPr="006D549B">
        <w:rPr>
          <w:rFonts w:ascii="Times New Roman" w:hAnsi="Times New Roman" w:cs="Times New Roman"/>
        </w:rPr>
        <w:t>MaxEnt</w:t>
      </w:r>
      <w:proofErr w:type="spellEnd"/>
      <w:r w:rsidR="006D549B" w:rsidRPr="006D549B">
        <w:rPr>
          <w:rFonts w:ascii="Times New Roman" w:hAnsi="Times New Roman" w:cs="Times New Roman"/>
        </w:rPr>
        <w:t xml:space="preserve"> modelling. The red line represents the mean logistic output, and the blue shaded area indicates ±1 standard deviation. (a) </w:t>
      </w:r>
      <w:proofErr w:type="gramStart"/>
      <w:r w:rsidR="006D549B" w:rsidRPr="006D549B">
        <w:rPr>
          <w:rFonts w:ascii="Times New Roman" w:hAnsi="Times New Roman" w:cs="Times New Roman"/>
        </w:rPr>
        <w:t>bio2</w:t>
      </w:r>
      <w:proofErr w:type="gramEnd"/>
      <w:r w:rsidR="006D549B" w:rsidRPr="006D549B">
        <w:rPr>
          <w:rFonts w:ascii="Times New Roman" w:hAnsi="Times New Roman" w:cs="Times New Roman"/>
        </w:rPr>
        <w:t xml:space="preserve"> – Mean diurnal temperature range: suitability peaks sharply around 10 °C, then declines. (b) </w:t>
      </w:r>
      <w:proofErr w:type="gramStart"/>
      <w:r w:rsidR="006D549B" w:rsidRPr="006D549B">
        <w:rPr>
          <w:rFonts w:ascii="Times New Roman" w:hAnsi="Times New Roman" w:cs="Times New Roman"/>
        </w:rPr>
        <w:t>bio5</w:t>
      </w:r>
      <w:proofErr w:type="gramEnd"/>
      <w:r w:rsidR="006D549B" w:rsidRPr="006D549B">
        <w:rPr>
          <w:rFonts w:ascii="Times New Roman" w:hAnsi="Times New Roman" w:cs="Times New Roman"/>
        </w:rPr>
        <w:t xml:space="preserve"> – Maximum temperature of warmest month: optimal suitability occurs near 20 °C, with sharp declines at both lower and higher temperatures. (c) </w:t>
      </w:r>
      <w:proofErr w:type="gramStart"/>
      <w:r w:rsidR="006D549B" w:rsidRPr="006D549B">
        <w:rPr>
          <w:rFonts w:ascii="Times New Roman" w:hAnsi="Times New Roman" w:cs="Times New Roman"/>
        </w:rPr>
        <w:t>bio11</w:t>
      </w:r>
      <w:proofErr w:type="gramEnd"/>
      <w:r w:rsidR="006D549B" w:rsidRPr="006D549B">
        <w:rPr>
          <w:rFonts w:ascii="Times New Roman" w:hAnsi="Times New Roman" w:cs="Times New Roman"/>
        </w:rPr>
        <w:t xml:space="preserve"> – Mean temperature of coldest quarter: peak suitability occurs around –6 °C. (d) </w:t>
      </w:r>
      <w:proofErr w:type="gramStart"/>
      <w:r w:rsidR="006D549B" w:rsidRPr="006D549B">
        <w:rPr>
          <w:rFonts w:ascii="Times New Roman" w:hAnsi="Times New Roman" w:cs="Times New Roman"/>
        </w:rPr>
        <w:t>bio18</w:t>
      </w:r>
      <w:proofErr w:type="gramEnd"/>
      <w:r w:rsidR="006D549B" w:rsidRPr="006D549B">
        <w:rPr>
          <w:rFonts w:ascii="Times New Roman" w:hAnsi="Times New Roman" w:cs="Times New Roman"/>
        </w:rPr>
        <w:t xml:space="preserve"> – Precipitation of warmest quarter: suitability rises with precipitation, peaking at approximately 400 mm before declining, suggesting intolerance of both dry and overl</w:t>
      </w:r>
      <w:bookmarkStart w:id="0" w:name="_GoBack"/>
      <w:bookmarkEnd w:id="0"/>
      <w:r w:rsidR="006D549B" w:rsidRPr="006D549B">
        <w:rPr>
          <w:rFonts w:ascii="Times New Roman" w:hAnsi="Times New Roman" w:cs="Times New Roman"/>
        </w:rPr>
        <w:t>y saturated summer conditions.</w:t>
      </w:r>
    </w:p>
    <w:sectPr w:rsidR="006D549B" w:rsidRPr="00357A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A68"/>
    <w:rsid w:val="001856C2"/>
    <w:rsid w:val="001878D1"/>
    <w:rsid w:val="00357A68"/>
    <w:rsid w:val="003755C6"/>
    <w:rsid w:val="0051028F"/>
    <w:rsid w:val="00550706"/>
    <w:rsid w:val="006D549B"/>
    <w:rsid w:val="009045EB"/>
    <w:rsid w:val="00A46561"/>
    <w:rsid w:val="00B037C4"/>
    <w:rsid w:val="00B2280D"/>
    <w:rsid w:val="00BF4204"/>
    <w:rsid w:val="00D86EA4"/>
    <w:rsid w:val="00EC25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BE5B6D"/>
  <w15:chartTrackingRefBased/>
  <w15:docId w15:val="{547E54E2-4343-4FCB-B230-37B9D4CC6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57A6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357A6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357A68"/>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357A68"/>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357A68"/>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357A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7A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7A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7A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7A68"/>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357A6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357A68"/>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357A68"/>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357A68"/>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357A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7A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7A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7A68"/>
    <w:rPr>
      <w:rFonts w:eastAsiaTheme="majorEastAsia" w:cstheme="majorBidi"/>
      <w:color w:val="272727" w:themeColor="text1" w:themeTint="D8"/>
    </w:rPr>
  </w:style>
  <w:style w:type="paragraph" w:styleId="Title">
    <w:name w:val="Title"/>
    <w:basedOn w:val="Normal"/>
    <w:next w:val="Normal"/>
    <w:link w:val="TitleChar"/>
    <w:uiPriority w:val="10"/>
    <w:qFormat/>
    <w:rsid w:val="00357A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7A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7A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7A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7A68"/>
    <w:pPr>
      <w:spacing w:before="160"/>
      <w:jc w:val="center"/>
    </w:pPr>
    <w:rPr>
      <w:i/>
      <w:iCs/>
      <w:color w:val="404040" w:themeColor="text1" w:themeTint="BF"/>
    </w:rPr>
  </w:style>
  <w:style w:type="character" w:customStyle="1" w:styleId="QuoteChar">
    <w:name w:val="Quote Char"/>
    <w:basedOn w:val="DefaultParagraphFont"/>
    <w:link w:val="Quote"/>
    <w:uiPriority w:val="29"/>
    <w:rsid w:val="00357A68"/>
    <w:rPr>
      <w:i/>
      <w:iCs/>
      <w:color w:val="404040" w:themeColor="text1" w:themeTint="BF"/>
    </w:rPr>
  </w:style>
  <w:style w:type="paragraph" w:styleId="ListParagraph">
    <w:name w:val="List Paragraph"/>
    <w:basedOn w:val="Normal"/>
    <w:uiPriority w:val="34"/>
    <w:qFormat/>
    <w:rsid w:val="00357A68"/>
    <w:pPr>
      <w:ind w:left="720"/>
      <w:contextualSpacing/>
    </w:pPr>
  </w:style>
  <w:style w:type="character" w:styleId="IntenseEmphasis">
    <w:name w:val="Intense Emphasis"/>
    <w:basedOn w:val="DefaultParagraphFont"/>
    <w:uiPriority w:val="21"/>
    <w:qFormat/>
    <w:rsid w:val="00357A68"/>
    <w:rPr>
      <w:i/>
      <w:iCs/>
      <w:color w:val="2E74B5" w:themeColor="accent1" w:themeShade="BF"/>
    </w:rPr>
  </w:style>
  <w:style w:type="paragraph" w:styleId="IntenseQuote">
    <w:name w:val="Intense Quote"/>
    <w:basedOn w:val="Normal"/>
    <w:next w:val="Normal"/>
    <w:link w:val="IntenseQuoteChar"/>
    <w:uiPriority w:val="30"/>
    <w:qFormat/>
    <w:rsid w:val="00357A6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357A68"/>
    <w:rPr>
      <w:i/>
      <w:iCs/>
      <w:color w:val="2E74B5" w:themeColor="accent1" w:themeShade="BF"/>
    </w:rPr>
  </w:style>
  <w:style w:type="character" w:styleId="IntenseReference">
    <w:name w:val="Intense Reference"/>
    <w:basedOn w:val="DefaultParagraphFont"/>
    <w:uiPriority w:val="32"/>
    <w:qFormat/>
    <w:rsid w:val="00357A68"/>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0457197">
      <w:bodyDiv w:val="1"/>
      <w:marLeft w:val="0"/>
      <w:marRight w:val="0"/>
      <w:marTop w:val="0"/>
      <w:marBottom w:val="0"/>
      <w:divBdr>
        <w:top w:val="none" w:sz="0" w:space="0" w:color="auto"/>
        <w:left w:val="none" w:sz="0" w:space="0" w:color="auto"/>
        <w:bottom w:val="none" w:sz="0" w:space="0" w:color="auto"/>
        <w:right w:val="none" w:sz="0" w:space="0" w:color="auto"/>
      </w:divBdr>
      <w:divsChild>
        <w:div w:id="876047745">
          <w:marLeft w:val="0"/>
          <w:marRight w:val="0"/>
          <w:marTop w:val="0"/>
          <w:marBottom w:val="0"/>
          <w:divBdr>
            <w:top w:val="none" w:sz="0" w:space="0" w:color="auto"/>
            <w:left w:val="none" w:sz="0" w:space="0" w:color="auto"/>
            <w:bottom w:val="none" w:sz="0" w:space="0" w:color="auto"/>
            <w:right w:val="none" w:sz="0" w:space="0" w:color="auto"/>
          </w:divBdr>
          <w:divsChild>
            <w:div w:id="2101834404">
              <w:marLeft w:val="0"/>
              <w:marRight w:val="0"/>
              <w:marTop w:val="0"/>
              <w:marBottom w:val="0"/>
              <w:divBdr>
                <w:top w:val="none" w:sz="0" w:space="0" w:color="auto"/>
                <w:left w:val="none" w:sz="0" w:space="0" w:color="auto"/>
                <w:bottom w:val="none" w:sz="0" w:space="0" w:color="auto"/>
                <w:right w:val="none" w:sz="0" w:space="0" w:color="auto"/>
              </w:divBdr>
              <w:divsChild>
                <w:div w:id="866219646">
                  <w:marLeft w:val="0"/>
                  <w:marRight w:val="0"/>
                  <w:marTop w:val="0"/>
                  <w:marBottom w:val="0"/>
                  <w:divBdr>
                    <w:top w:val="none" w:sz="0" w:space="0" w:color="auto"/>
                    <w:left w:val="none" w:sz="0" w:space="0" w:color="auto"/>
                    <w:bottom w:val="none" w:sz="0" w:space="0" w:color="auto"/>
                    <w:right w:val="none" w:sz="0" w:space="0" w:color="auto"/>
                  </w:divBdr>
                  <w:divsChild>
                    <w:div w:id="644435438">
                      <w:marLeft w:val="0"/>
                      <w:marRight w:val="0"/>
                      <w:marTop w:val="0"/>
                      <w:marBottom w:val="0"/>
                      <w:divBdr>
                        <w:top w:val="none" w:sz="0" w:space="0" w:color="auto"/>
                        <w:left w:val="none" w:sz="0" w:space="0" w:color="auto"/>
                        <w:bottom w:val="none" w:sz="0" w:space="0" w:color="auto"/>
                        <w:right w:val="none" w:sz="0" w:space="0" w:color="auto"/>
                      </w:divBdr>
                      <w:divsChild>
                        <w:div w:id="722600010">
                          <w:marLeft w:val="0"/>
                          <w:marRight w:val="0"/>
                          <w:marTop w:val="0"/>
                          <w:marBottom w:val="0"/>
                          <w:divBdr>
                            <w:top w:val="none" w:sz="0" w:space="0" w:color="auto"/>
                            <w:left w:val="none" w:sz="0" w:space="0" w:color="auto"/>
                            <w:bottom w:val="none" w:sz="0" w:space="0" w:color="auto"/>
                            <w:right w:val="none" w:sz="0" w:space="0" w:color="auto"/>
                          </w:divBdr>
                          <w:divsChild>
                            <w:div w:id="1201818383">
                              <w:marLeft w:val="0"/>
                              <w:marRight w:val="0"/>
                              <w:marTop w:val="0"/>
                              <w:marBottom w:val="0"/>
                              <w:divBdr>
                                <w:top w:val="none" w:sz="0" w:space="0" w:color="auto"/>
                                <w:left w:val="none" w:sz="0" w:space="0" w:color="auto"/>
                                <w:bottom w:val="none" w:sz="0" w:space="0" w:color="auto"/>
                                <w:right w:val="none" w:sz="0" w:space="0" w:color="auto"/>
                              </w:divBdr>
                              <w:divsChild>
                                <w:div w:id="1675691907">
                                  <w:marLeft w:val="0"/>
                                  <w:marRight w:val="0"/>
                                  <w:marTop w:val="0"/>
                                  <w:marBottom w:val="0"/>
                                  <w:divBdr>
                                    <w:top w:val="none" w:sz="0" w:space="0" w:color="auto"/>
                                    <w:left w:val="none" w:sz="0" w:space="0" w:color="auto"/>
                                    <w:bottom w:val="none" w:sz="0" w:space="0" w:color="auto"/>
                                    <w:right w:val="none" w:sz="0" w:space="0" w:color="auto"/>
                                  </w:divBdr>
                                  <w:divsChild>
                                    <w:div w:id="38240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072317">
      <w:bodyDiv w:val="1"/>
      <w:marLeft w:val="0"/>
      <w:marRight w:val="0"/>
      <w:marTop w:val="0"/>
      <w:marBottom w:val="0"/>
      <w:divBdr>
        <w:top w:val="none" w:sz="0" w:space="0" w:color="auto"/>
        <w:left w:val="none" w:sz="0" w:space="0" w:color="auto"/>
        <w:bottom w:val="none" w:sz="0" w:space="0" w:color="auto"/>
        <w:right w:val="none" w:sz="0" w:space="0" w:color="auto"/>
      </w:divBdr>
      <w:divsChild>
        <w:div w:id="1679768347">
          <w:marLeft w:val="0"/>
          <w:marRight w:val="0"/>
          <w:marTop w:val="0"/>
          <w:marBottom w:val="0"/>
          <w:divBdr>
            <w:top w:val="none" w:sz="0" w:space="0" w:color="auto"/>
            <w:left w:val="none" w:sz="0" w:space="0" w:color="auto"/>
            <w:bottom w:val="none" w:sz="0" w:space="0" w:color="auto"/>
            <w:right w:val="none" w:sz="0" w:space="0" w:color="auto"/>
          </w:divBdr>
          <w:divsChild>
            <w:div w:id="622737878">
              <w:marLeft w:val="0"/>
              <w:marRight w:val="0"/>
              <w:marTop w:val="0"/>
              <w:marBottom w:val="0"/>
              <w:divBdr>
                <w:top w:val="none" w:sz="0" w:space="0" w:color="auto"/>
                <w:left w:val="none" w:sz="0" w:space="0" w:color="auto"/>
                <w:bottom w:val="none" w:sz="0" w:space="0" w:color="auto"/>
                <w:right w:val="none" w:sz="0" w:space="0" w:color="auto"/>
              </w:divBdr>
              <w:divsChild>
                <w:div w:id="560292438">
                  <w:marLeft w:val="0"/>
                  <w:marRight w:val="0"/>
                  <w:marTop w:val="0"/>
                  <w:marBottom w:val="0"/>
                  <w:divBdr>
                    <w:top w:val="none" w:sz="0" w:space="0" w:color="auto"/>
                    <w:left w:val="none" w:sz="0" w:space="0" w:color="auto"/>
                    <w:bottom w:val="none" w:sz="0" w:space="0" w:color="auto"/>
                    <w:right w:val="none" w:sz="0" w:space="0" w:color="auto"/>
                  </w:divBdr>
                  <w:divsChild>
                    <w:div w:id="1456943669">
                      <w:marLeft w:val="0"/>
                      <w:marRight w:val="0"/>
                      <w:marTop w:val="0"/>
                      <w:marBottom w:val="0"/>
                      <w:divBdr>
                        <w:top w:val="none" w:sz="0" w:space="0" w:color="auto"/>
                        <w:left w:val="none" w:sz="0" w:space="0" w:color="auto"/>
                        <w:bottom w:val="none" w:sz="0" w:space="0" w:color="auto"/>
                        <w:right w:val="none" w:sz="0" w:space="0" w:color="auto"/>
                      </w:divBdr>
                      <w:divsChild>
                        <w:div w:id="1844466162">
                          <w:marLeft w:val="0"/>
                          <w:marRight w:val="0"/>
                          <w:marTop w:val="0"/>
                          <w:marBottom w:val="0"/>
                          <w:divBdr>
                            <w:top w:val="none" w:sz="0" w:space="0" w:color="auto"/>
                            <w:left w:val="none" w:sz="0" w:space="0" w:color="auto"/>
                            <w:bottom w:val="none" w:sz="0" w:space="0" w:color="auto"/>
                            <w:right w:val="none" w:sz="0" w:space="0" w:color="auto"/>
                          </w:divBdr>
                          <w:divsChild>
                            <w:div w:id="1947731047">
                              <w:marLeft w:val="0"/>
                              <w:marRight w:val="0"/>
                              <w:marTop w:val="0"/>
                              <w:marBottom w:val="0"/>
                              <w:divBdr>
                                <w:top w:val="none" w:sz="0" w:space="0" w:color="auto"/>
                                <w:left w:val="none" w:sz="0" w:space="0" w:color="auto"/>
                                <w:bottom w:val="none" w:sz="0" w:space="0" w:color="auto"/>
                                <w:right w:val="none" w:sz="0" w:space="0" w:color="auto"/>
                              </w:divBdr>
                              <w:divsChild>
                                <w:div w:id="1428230238">
                                  <w:marLeft w:val="0"/>
                                  <w:marRight w:val="0"/>
                                  <w:marTop w:val="0"/>
                                  <w:marBottom w:val="0"/>
                                  <w:divBdr>
                                    <w:top w:val="none" w:sz="0" w:space="0" w:color="auto"/>
                                    <w:left w:val="none" w:sz="0" w:space="0" w:color="auto"/>
                                    <w:bottom w:val="none" w:sz="0" w:space="0" w:color="auto"/>
                                    <w:right w:val="none" w:sz="0" w:space="0" w:color="auto"/>
                                  </w:divBdr>
                                  <w:divsChild>
                                    <w:div w:id="1022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0010877">
      <w:bodyDiv w:val="1"/>
      <w:marLeft w:val="0"/>
      <w:marRight w:val="0"/>
      <w:marTop w:val="0"/>
      <w:marBottom w:val="0"/>
      <w:divBdr>
        <w:top w:val="none" w:sz="0" w:space="0" w:color="auto"/>
        <w:left w:val="none" w:sz="0" w:space="0" w:color="auto"/>
        <w:bottom w:val="none" w:sz="0" w:space="0" w:color="auto"/>
        <w:right w:val="none" w:sz="0" w:space="0" w:color="auto"/>
      </w:divBdr>
    </w:div>
    <w:div w:id="1025667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500</Words>
  <Characters>2852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waheedtaxonomist@outlook.com</dc:creator>
  <cp:keywords/>
  <dc:description/>
  <cp:lastModifiedBy>Microsoft account</cp:lastModifiedBy>
  <cp:revision>6</cp:revision>
  <dcterms:created xsi:type="dcterms:W3CDTF">2025-06-22T07:30:00Z</dcterms:created>
  <dcterms:modified xsi:type="dcterms:W3CDTF">2025-07-05T06:52:00Z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cc5be43f-b6d8-4fff-a9c7-716f0b8ed4d4</vt:lpwstr>
  </property>
</Properties>
</file>