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B9C" w:rsidRDefault="005C160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Supplementary materials</w:t>
      </w:r>
    </w:p>
    <w:p w:rsidR="00CA3B9C" w:rsidRDefault="005C160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 w:hint="eastAsia"/>
          <w:b/>
          <w:sz w:val="24"/>
          <w:szCs w:val="24"/>
        </w:rPr>
        <w:t>Characterization</w:t>
      </w:r>
      <w:r>
        <w:rPr>
          <w:rFonts w:ascii="Arial" w:hAnsi="Arial" w:cs="Arial"/>
          <w:b/>
          <w:sz w:val="24"/>
          <w:szCs w:val="24"/>
        </w:rPr>
        <w:t xml:space="preserve"> of the mango phyllosphere microbiome during fruit-setting unveils unique community assembly and coexisting beneficial-pathogenic microbiota</w:t>
      </w:r>
    </w:p>
    <w:p w:rsidR="00CA3B9C" w:rsidRDefault="00CA3B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A3B9C" w:rsidRDefault="005C16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Muzammil Hussain</w:t>
      </w:r>
      <w:r>
        <w:rPr>
          <w:rFonts w:ascii="Arial" w:hAnsi="Arial" w:cs="Arial"/>
          <w:sz w:val="24"/>
          <w:szCs w:val="24"/>
          <w:vertAlign w:val="superscript"/>
        </w:rPr>
        <w:t>1,2,</w:t>
      </w:r>
      <w:r>
        <w:rPr>
          <w:rFonts w:ascii="Arial" w:hAnsi="Arial" w:cs="Arial" w:hint="eastAsia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  <w:vertAlign w:val="superscript"/>
        </w:rPr>
        <w:t>,#</w:t>
      </w:r>
      <w:r>
        <w:rPr>
          <w:rFonts w:ascii="Arial" w:hAnsi="Arial" w:cs="Arial"/>
          <w:sz w:val="24"/>
          <w:szCs w:val="24"/>
        </w:rPr>
        <w:t>, Nazir Ahmed</w:t>
      </w:r>
      <w:r>
        <w:rPr>
          <w:rFonts w:ascii="Arial" w:hAnsi="Arial" w:cs="Arial"/>
          <w:sz w:val="24"/>
          <w:szCs w:val="24"/>
          <w:vertAlign w:val="superscript"/>
        </w:rPr>
        <w:t>1,2,</w:t>
      </w:r>
      <w:r>
        <w:rPr>
          <w:rFonts w:ascii="Arial" w:hAnsi="Arial" w:cs="Arial" w:hint="eastAsia"/>
          <w:sz w:val="24"/>
          <w:szCs w:val="24"/>
          <w:vertAlign w:val="superscript"/>
        </w:rPr>
        <w:t>3,</w:t>
      </w:r>
      <w:r>
        <w:rPr>
          <w:rFonts w:ascii="Arial" w:hAnsi="Arial" w:cs="Arial"/>
          <w:sz w:val="24"/>
          <w:szCs w:val="24"/>
          <w:vertAlign w:val="superscript"/>
        </w:rPr>
        <w:t>#</w:t>
      </w:r>
      <w:r>
        <w:rPr>
          <w:rFonts w:ascii="Arial" w:hAnsi="Arial" w:cs="Arial"/>
          <w:sz w:val="24"/>
          <w:szCs w:val="24"/>
        </w:rPr>
        <w:t>, Xiaona Xie</w:t>
      </w:r>
      <w:r>
        <w:rPr>
          <w:rFonts w:ascii="Arial" w:hAnsi="Arial" w:cs="Arial"/>
          <w:sz w:val="24"/>
          <w:szCs w:val="24"/>
          <w:vertAlign w:val="superscript"/>
        </w:rPr>
        <w:t>1,2</w:t>
      </w:r>
      <w:r>
        <w:rPr>
          <w:rFonts w:ascii="Arial" w:hAnsi="Arial" w:cs="Arial" w:hint="eastAsia"/>
          <w:sz w:val="24"/>
          <w:szCs w:val="24"/>
          <w:vertAlign w:val="superscript"/>
        </w:rPr>
        <w:t>,3</w:t>
      </w:r>
      <w:r>
        <w:rPr>
          <w:rFonts w:ascii="Arial" w:hAnsi="Arial" w:cs="Arial"/>
          <w:sz w:val="24"/>
          <w:szCs w:val="24"/>
        </w:rPr>
        <w:t>, Zheng Teng</w:t>
      </w:r>
      <w:r>
        <w:rPr>
          <w:rFonts w:ascii="Arial" w:hAnsi="Arial" w:cs="Arial"/>
          <w:sz w:val="24"/>
          <w:szCs w:val="24"/>
          <w:vertAlign w:val="superscript"/>
        </w:rPr>
        <w:t>1,2</w:t>
      </w:r>
      <w:r>
        <w:rPr>
          <w:rFonts w:ascii="Arial" w:hAnsi="Arial" w:cs="Arial" w:hint="eastAsia"/>
          <w:sz w:val="24"/>
          <w:szCs w:val="24"/>
          <w:vertAlign w:val="superscript"/>
        </w:rPr>
        <w:t>,3</w:t>
      </w:r>
      <w:r>
        <w:rPr>
          <w:rFonts w:ascii="Arial" w:hAnsi="Arial" w:cs="Arial"/>
          <w:sz w:val="24"/>
          <w:szCs w:val="24"/>
        </w:rPr>
        <w:t>, Xianbin Hou</w:t>
      </w:r>
      <w:r>
        <w:rPr>
          <w:rFonts w:ascii="Arial" w:hAnsi="Arial" w:cs="Arial"/>
          <w:sz w:val="24"/>
          <w:szCs w:val="24"/>
          <w:vertAlign w:val="superscript"/>
        </w:rPr>
        <w:t>1,2</w:t>
      </w:r>
      <w:r>
        <w:rPr>
          <w:rFonts w:ascii="Arial" w:hAnsi="Arial" w:cs="Arial" w:hint="eastAsia"/>
          <w:sz w:val="24"/>
          <w:szCs w:val="24"/>
          <w:vertAlign w:val="superscript"/>
        </w:rPr>
        <w:t>,3</w:t>
      </w:r>
      <w:r>
        <w:rPr>
          <w:rFonts w:ascii="Arial" w:hAnsi="Arial" w:cs="Arial"/>
          <w:sz w:val="24"/>
          <w:szCs w:val="24"/>
        </w:rPr>
        <w:t>, Xi Li</w:t>
      </w:r>
      <w:r>
        <w:rPr>
          <w:rFonts w:ascii="Arial" w:hAnsi="Arial" w:cs="Arial"/>
          <w:sz w:val="24"/>
          <w:szCs w:val="24"/>
          <w:vertAlign w:val="superscript"/>
        </w:rPr>
        <w:t>1,2</w:t>
      </w:r>
      <w:r>
        <w:rPr>
          <w:rFonts w:ascii="Arial" w:hAnsi="Arial" w:cs="Arial" w:hint="eastAsia"/>
          <w:sz w:val="24"/>
          <w:szCs w:val="24"/>
          <w:vertAlign w:val="superscript"/>
        </w:rPr>
        <w:t>,3</w:t>
      </w:r>
      <w:r>
        <w:rPr>
          <w:rFonts w:ascii="Arial" w:hAnsi="Arial" w:cs="Arial"/>
          <w:sz w:val="24"/>
          <w:szCs w:val="24"/>
        </w:rPr>
        <w:t>, Zhengzhou Yang</w:t>
      </w:r>
      <w:r>
        <w:rPr>
          <w:rFonts w:ascii="Arial" w:hAnsi="Arial" w:cs="Arial"/>
          <w:sz w:val="24"/>
          <w:szCs w:val="24"/>
          <w:vertAlign w:val="superscript"/>
        </w:rPr>
        <w:t>1,2,</w:t>
      </w:r>
      <w:r>
        <w:rPr>
          <w:rFonts w:ascii="Arial" w:hAnsi="Arial" w:cs="Arial" w:hint="eastAsia"/>
          <w:sz w:val="24"/>
          <w:szCs w:val="24"/>
          <w:vertAlign w:val="superscript"/>
        </w:rPr>
        <w:t>3,</w:t>
      </w:r>
      <w:r>
        <w:rPr>
          <w:rFonts w:ascii="Arial" w:hAnsi="Arial" w:cs="Arial"/>
          <w:sz w:val="24"/>
          <w:szCs w:val="24"/>
          <w:vertAlign w:val="superscript"/>
        </w:rPr>
        <w:t>*</w:t>
      </w:r>
      <w:r>
        <w:rPr>
          <w:rFonts w:ascii="Arial" w:hAnsi="Arial" w:cs="Arial"/>
          <w:sz w:val="24"/>
          <w:szCs w:val="24"/>
        </w:rPr>
        <w:t>, Zhengjie Zhu</w:t>
      </w:r>
      <w:r>
        <w:rPr>
          <w:rFonts w:ascii="Arial" w:hAnsi="Arial" w:cs="Arial"/>
          <w:sz w:val="24"/>
          <w:szCs w:val="24"/>
          <w:vertAlign w:val="superscript"/>
        </w:rPr>
        <w:t>1,2,</w:t>
      </w:r>
      <w:r>
        <w:rPr>
          <w:rFonts w:ascii="Arial" w:hAnsi="Arial" w:cs="Arial" w:hint="eastAsia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  <w:vertAlign w:val="superscript"/>
        </w:rPr>
        <w:t>*</w:t>
      </w:r>
    </w:p>
    <w:p w:rsidR="00CA3B9C" w:rsidRDefault="00CA3B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A3B9C" w:rsidRDefault="005C16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1 </w:t>
      </w:r>
      <w:r>
        <w:rPr>
          <w:rFonts w:ascii="Arial" w:hAnsi="Arial" w:cs="Arial"/>
          <w:sz w:val="24"/>
          <w:szCs w:val="24"/>
        </w:rPr>
        <w:t>College of Agriculture and Food Engineering, Baise University, Baise 533000, China</w:t>
      </w:r>
    </w:p>
    <w:p w:rsidR="00CA3B9C" w:rsidRDefault="005C16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2 </w:t>
      </w:r>
      <w:r>
        <w:rPr>
          <w:rFonts w:ascii="Arial" w:hAnsi="Arial" w:cs="Arial"/>
          <w:sz w:val="24"/>
          <w:szCs w:val="24"/>
        </w:rPr>
        <w:t>Guangxi Key Laboratory of Biology for Mango, Baise 533000, China</w:t>
      </w:r>
    </w:p>
    <w:p w:rsidR="00CA3B9C" w:rsidRDefault="005C16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 xml:space="preserve">College of Subtropical </w:t>
      </w:r>
      <w:r>
        <w:rPr>
          <w:rFonts w:ascii="Arial" w:hAnsi="Arial" w:cs="Arial"/>
          <w:sz w:val="24"/>
          <w:szCs w:val="24"/>
        </w:rPr>
        <w:t>Characteristic Agricultural Industry, Baise, China</w:t>
      </w:r>
    </w:p>
    <w:p w:rsidR="00CA3B9C" w:rsidRDefault="005C16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# </w:t>
      </w:r>
      <w:r>
        <w:rPr>
          <w:rFonts w:ascii="Arial" w:hAnsi="Arial" w:cs="Arial"/>
          <w:sz w:val="24"/>
          <w:szCs w:val="24"/>
        </w:rPr>
        <w:t>These authors contributed equally to this work.</w:t>
      </w:r>
    </w:p>
    <w:p w:rsidR="00CA3B9C" w:rsidRDefault="00CA3B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A3B9C" w:rsidRDefault="005C16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Corresponding author’s email: yzz@bsuc.cn (Z. Yang)</w:t>
      </w:r>
    </w:p>
    <w:p w:rsidR="00CA3B9C" w:rsidRDefault="005C160D">
      <w:pPr>
        <w:spacing w:after="0" w:line="360" w:lineRule="auto"/>
        <w:ind w:left="216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zhuzhjie@bsuc.edu.cn (Z. Zhu)</w:t>
      </w:r>
    </w:p>
    <w:p w:rsidR="00CA3B9C" w:rsidRDefault="00CA3B9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A3B9C" w:rsidRDefault="005C160D">
      <w:pPr>
        <w:adjustRightInd w:val="0"/>
        <w:snapToGrid w:val="0"/>
        <w:spacing w:after="0" w:line="360" w:lineRule="auto"/>
        <w:ind w:left="144" w:hanging="144"/>
        <w:jc w:val="both"/>
        <w:rPr>
          <w:rFonts w:ascii="Arial" w:eastAsia="宋体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ORCID: 0000-0001-6681-7513 (M. Hussain)</w:t>
      </w: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  <w:bookmarkStart w:id="0" w:name="_GoBack"/>
      <w:bookmarkEnd w:id="0"/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5C160D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  <w:r>
        <w:rPr>
          <w:rFonts w:ascii="Arial" w:hAnsi="Arial" w:cs="Arial"/>
          <w:b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486400" cy="4402455"/>
            <wp:effectExtent l="19050" t="0" r="0" b="0"/>
            <wp:docPr id="1" name="Picture 1" descr="E:\data after laptop given in pakistan\Baise University InshaALLAH Associate Professor\Papers\Mango research article\Submission\BMC Plant Biology\Revision 1\Mango revised analysis\Figures\Supplementary Figure 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:\data after laptop given in pakistan\Baise University InshaALLAH Associate Professor\Papers\Mango research article\Submission\BMC Plant Biology\Revision 1\Mango revised analysis\Figures\Supplementary Figure 1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9C" w:rsidRPr="00787C2F" w:rsidRDefault="005C160D" w:rsidP="00787C2F">
      <w:pPr>
        <w:jc w:val="both"/>
        <w:rPr>
          <w:rFonts w:ascii="Arial" w:hAnsi="Arial" w:cs="Arial" w:hint="eastAsia"/>
          <w:color w:val="000000"/>
          <w:sz w:val="24"/>
          <w:szCs w:val="24"/>
          <w:lang w:bidi="en-US"/>
        </w:rPr>
      </w:pPr>
      <w:r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de-DE" w:bidi="en-US"/>
        </w:rPr>
        <w:t>Figure S1.</w:t>
      </w:r>
      <w:r w:rsidR="005A2CF8">
        <w:rPr>
          <w:rFonts w:ascii="Arial" w:hAnsi="Arial" w:cs="Arial" w:hint="eastAsia"/>
          <w:b/>
          <w:snapToGrid w:val="0"/>
          <w:color w:val="000000"/>
          <w:sz w:val="24"/>
          <w:szCs w:val="24"/>
          <w:lang w:bidi="en-US"/>
        </w:rPr>
        <w:t xml:space="preserve"> </w:t>
      </w:r>
      <w:r w:rsidR="00787C2F" w:rsidRPr="00787C2F">
        <w:rPr>
          <w:rFonts w:ascii="Arial" w:hAnsi="Arial" w:cs="Arial" w:hint="eastAsia"/>
          <w:snapToGrid w:val="0"/>
          <w:color w:val="000000"/>
          <w:sz w:val="24"/>
          <w:szCs w:val="24"/>
          <w:lang w:bidi="en-US"/>
        </w:rPr>
        <w:t xml:space="preserve">Rarefaction curves of mango leaf, flower and fruitlet samples. </w:t>
      </w:r>
      <w:r w:rsidR="00787C2F" w:rsidRPr="00787C2F">
        <w:rPr>
          <w:rFonts w:ascii="Arial" w:hAnsi="Arial" w:cs="Arial"/>
          <w:snapToGrid w:val="0"/>
          <w:color w:val="000000"/>
          <w:sz w:val="24"/>
          <w:szCs w:val="24"/>
          <w:lang w:bidi="en-US"/>
        </w:rPr>
        <w:t>The Shannon index-based rarefaction curves</w:t>
      </w:r>
      <w:r w:rsidR="00787C2F" w:rsidRPr="00787C2F">
        <w:rPr>
          <w:rFonts w:ascii="Arial" w:hAnsi="Arial" w:cs="Arial" w:hint="eastAsia"/>
          <w:snapToGrid w:val="0"/>
          <w:color w:val="000000"/>
          <w:sz w:val="24"/>
          <w:szCs w:val="24"/>
          <w:lang w:bidi="en-US"/>
        </w:rPr>
        <w:t xml:space="preserve"> </w:t>
      </w:r>
      <w:r w:rsidR="00787C2F" w:rsidRPr="00787C2F">
        <w:rPr>
          <w:rFonts w:ascii="Arial" w:hAnsi="Arial" w:cs="Arial"/>
          <w:snapToGrid w:val="0"/>
          <w:color w:val="000000"/>
          <w:sz w:val="24"/>
          <w:szCs w:val="24"/>
          <w:lang w:bidi="en-US"/>
        </w:rPr>
        <w:t xml:space="preserve">indicating that the sequencing depth adequately captured the </w:t>
      </w:r>
      <w:r w:rsidR="00787C2F" w:rsidRPr="00787C2F">
        <w:rPr>
          <w:rFonts w:ascii="Arial" w:hAnsi="Arial" w:cs="Arial" w:hint="eastAsia"/>
          <w:snapToGrid w:val="0"/>
          <w:color w:val="000000"/>
          <w:sz w:val="24"/>
          <w:szCs w:val="24"/>
          <w:lang w:bidi="en-US"/>
        </w:rPr>
        <w:t>bacterial</w:t>
      </w:r>
      <w:r w:rsidR="00787C2F" w:rsidRPr="00787C2F">
        <w:rPr>
          <w:rFonts w:ascii="Arial" w:hAnsi="Arial" w:cs="Arial"/>
          <w:snapToGrid w:val="0"/>
          <w:color w:val="000000"/>
          <w:sz w:val="24"/>
          <w:szCs w:val="24"/>
          <w:lang w:bidi="en-US"/>
        </w:rPr>
        <w:t xml:space="preserve"> diversity present in the samples</w:t>
      </w:r>
      <w:r w:rsidR="00787C2F" w:rsidRPr="00787C2F">
        <w:rPr>
          <w:rFonts w:ascii="Arial" w:hAnsi="Arial" w:cs="Arial" w:hint="eastAsia"/>
          <w:snapToGrid w:val="0"/>
          <w:color w:val="000000"/>
          <w:sz w:val="24"/>
          <w:szCs w:val="24"/>
          <w:lang w:bidi="en-US"/>
        </w:rPr>
        <w:t>.</w:t>
      </w:r>
    </w:p>
    <w:p w:rsidR="00CA3B9C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5C160D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  <w:r>
        <w:rPr>
          <w:rFonts w:ascii="Arial" w:hAnsi="Arial" w:cs="Arial"/>
          <w:b/>
          <w:noProof/>
          <w:color w:val="000000"/>
          <w:sz w:val="24"/>
          <w:szCs w:val="24"/>
        </w:rPr>
        <w:drawing>
          <wp:inline distT="0" distB="0" distL="0" distR="0">
            <wp:extent cx="5486400" cy="4400550"/>
            <wp:effectExtent l="19050" t="0" r="0" b="0"/>
            <wp:docPr id="2" name="Picture 2" descr="E:\data after laptop given in pakistan\Baise University InshaALLAH Associate Professor\Papers\Mango research article\Submission\BMC Plant Biology\Revision 1\Mango revised analysis\Figures\Supplementary Figure 2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E:\data after laptop given in pakistan\Baise University InshaALLAH Associate Professor\Papers\Mango research article\Submission\BMC Plant Biology\Revision 1\Mango revised analysis\Figures\Supplementary Figure 2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0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C2F" w:rsidRPr="00787C2F" w:rsidRDefault="005C160D" w:rsidP="00787C2F">
      <w:pPr>
        <w:jc w:val="both"/>
        <w:rPr>
          <w:rFonts w:ascii="Arial" w:hAnsi="Arial" w:cs="Arial" w:hint="eastAsia"/>
          <w:color w:val="000000"/>
          <w:sz w:val="24"/>
          <w:szCs w:val="24"/>
          <w:lang w:bidi="en-US"/>
        </w:rPr>
      </w:pPr>
      <w:r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de-DE" w:bidi="en-US"/>
        </w:rPr>
        <w:t>Figure S</w:t>
      </w:r>
      <w:r>
        <w:rPr>
          <w:rFonts w:ascii="Arial" w:hAnsi="Arial" w:cs="Arial" w:hint="eastAsia"/>
          <w:b/>
          <w:snapToGrid w:val="0"/>
          <w:color w:val="000000"/>
          <w:sz w:val="24"/>
          <w:szCs w:val="24"/>
          <w:lang w:bidi="en-US"/>
        </w:rPr>
        <w:t>2</w:t>
      </w:r>
      <w:r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de-DE" w:bidi="en-US"/>
        </w:rPr>
        <w:t>.</w:t>
      </w:r>
      <w:r w:rsidR="00787C2F" w:rsidRPr="00787C2F">
        <w:rPr>
          <w:rFonts w:ascii="Arial" w:hAnsi="Arial" w:cs="Arial" w:hint="eastAsia"/>
          <w:snapToGrid w:val="0"/>
          <w:color w:val="000000"/>
          <w:sz w:val="24"/>
          <w:szCs w:val="24"/>
          <w:lang w:bidi="en-US"/>
        </w:rPr>
        <w:t xml:space="preserve"> Rarefaction curves of mango leaf, flower and fruitlet samples. </w:t>
      </w:r>
      <w:r w:rsidR="00787C2F" w:rsidRPr="00787C2F">
        <w:rPr>
          <w:rFonts w:ascii="Arial" w:hAnsi="Arial" w:cs="Arial"/>
          <w:snapToGrid w:val="0"/>
          <w:color w:val="000000"/>
          <w:sz w:val="24"/>
          <w:szCs w:val="24"/>
          <w:lang w:bidi="en-US"/>
        </w:rPr>
        <w:t>The Shannon index-based rarefaction curves</w:t>
      </w:r>
      <w:r w:rsidR="00787C2F" w:rsidRPr="00787C2F">
        <w:rPr>
          <w:rFonts w:ascii="Arial" w:hAnsi="Arial" w:cs="Arial" w:hint="eastAsia"/>
          <w:snapToGrid w:val="0"/>
          <w:color w:val="000000"/>
          <w:sz w:val="24"/>
          <w:szCs w:val="24"/>
          <w:lang w:bidi="en-US"/>
        </w:rPr>
        <w:t xml:space="preserve"> </w:t>
      </w:r>
      <w:r w:rsidR="00787C2F" w:rsidRPr="00787C2F">
        <w:rPr>
          <w:rFonts w:ascii="Arial" w:hAnsi="Arial" w:cs="Arial"/>
          <w:snapToGrid w:val="0"/>
          <w:color w:val="000000"/>
          <w:sz w:val="24"/>
          <w:szCs w:val="24"/>
          <w:lang w:bidi="en-US"/>
        </w:rPr>
        <w:t>indicating that the sequencing depth adequately captured the</w:t>
      </w:r>
      <w:r w:rsidR="00787C2F">
        <w:rPr>
          <w:rFonts w:ascii="Arial" w:hAnsi="Arial" w:cs="Arial" w:hint="eastAsia"/>
          <w:snapToGrid w:val="0"/>
          <w:color w:val="000000"/>
          <w:sz w:val="24"/>
          <w:szCs w:val="24"/>
          <w:lang w:bidi="en-US"/>
        </w:rPr>
        <w:t xml:space="preserve"> fungal</w:t>
      </w:r>
      <w:r w:rsidR="00787C2F" w:rsidRPr="00787C2F">
        <w:rPr>
          <w:rFonts w:ascii="Arial" w:hAnsi="Arial" w:cs="Arial"/>
          <w:snapToGrid w:val="0"/>
          <w:color w:val="000000"/>
          <w:sz w:val="24"/>
          <w:szCs w:val="24"/>
          <w:lang w:bidi="en-US"/>
        </w:rPr>
        <w:t xml:space="preserve"> diversity present in the samples</w:t>
      </w:r>
      <w:r w:rsidR="00787C2F" w:rsidRPr="00787C2F">
        <w:rPr>
          <w:rFonts w:ascii="Arial" w:hAnsi="Arial" w:cs="Arial" w:hint="eastAsia"/>
          <w:snapToGrid w:val="0"/>
          <w:color w:val="000000"/>
          <w:sz w:val="24"/>
          <w:szCs w:val="24"/>
          <w:lang w:bidi="en-US"/>
        </w:rPr>
        <w:t>.</w:t>
      </w:r>
    </w:p>
    <w:p w:rsidR="00CA3B9C" w:rsidRPr="00787C2F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5C160D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  <w:r>
        <w:rPr>
          <w:rFonts w:ascii="Arial" w:eastAsia="Times New Roman" w:hAnsi="Arial" w:cs="Arial"/>
          <w:b/>
          <w:noProof/>
          <w:color w:val="000000"/>
          <w:sz w:val="24"/>
          <w:szCs w:val="24"/>
        </w:rPr>
        <w:drawing>
          <wp:inline distT="0" distB="0" distL="0" distR="0">
            <wp:extent cx="5486400" cy="2550795"/>
            <wp:effectExtent l="19050" t="0" r="0" b="0"/>
            <wp:docPr id="7" name="Picture 7" descr="E:\Baise University InshaALLAH Associate Professor\Papers\Mango research article\Submission\Biomolecules\Fig.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E:\Baise University InshaALLAH Associate Professor\Papers\Mango research article\Submission\Biomolecules\Fig. S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1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9C" w:rsidRDefault="005C160D">
      <w:pPr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  <w:r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de-DE" w:bidi="en-US"/>
        </w:rPr>
        <w:t>Figure S</w:t>
      </w:r>
      <w:r>
        <w:rPr>
          <w:rFonts w:ascii="Arial" w:hAnsi="Arial" w:cs="Arial" w:hint="eastAsia"/>
          <w:b/>
          <w:snapToGrid w:val="0"/>
          <w:color w:val="000000"/>
          <w:sz w:val="24"/>
          <w:szCs w:val="24"/>
          <w:lang w:bidi="en-US"/>
        </w:rPr>
        <w:t>3</w:t>
      </w:r>
      <w:r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de-DE" w:bidi="en-US"/>
        </w:rPr>
        <w:t xml:space="preserve">. </w:t>
      </w:r>
      <w: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  <w:t>Observed species of bacterial and fungal communities in mango phyllosphere microbiome.</w:t>
      </w: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CA3B9C">
      <w:pPr>
        <w:jc w:val="center"/>
        <w:rPr>
          <w:rFonts w:ascii="Arial" w:hAnsi="Arial" w:cs="Arial"/>
          <w:b/>
          <w:color w:val="000000"/>
          <w:sz w:val="24"/>
          <w:szCs w:val="24"/>
          <w:lang w:bidi="en-US"/>
        </w:rPr>
      </w:pPr>
    </w:p>
    <w:p w:rsidR="00CA3B9C" w:rsidRDefault="005C160D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  <w:r>
        <w:rPr>
          <w:rFonts w:ascii="Arial" w:eastAsia="Times New Roman" w:hAnsi="Arial" w:cs="Arial"/>
          <w:b/>
          <w:noProof/>
          <w:color w:val="000000"/>
          <w:sz w:val="24"/>
          <w:szCs w:val="24"/>
        </w:rPr>
        <w:drawing>
          <wp:inline distT="0" distB="0" distL="0" distR="0">
            <wp:extent cx="5486400" cy="4238625"/>
            <wp:effectExtent l="19050" t="0" r="0" b="0"/>
            <wp:docPr id="5" name="Picture 5" descr="E:\Baise University InshaALLAH Associate Professor\Papers\Mango research article\Submission\Biomolecules\Fig.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E:\Baise University InshaALLAH Associate Professor\Papers\Mango research article\Submission\Biomolecules\Fig. S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9C" w:rsidRDefault="005C160D">
      <w:pPr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  <w:r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de-DE" w:bidi="en-US"/>
        </w:rPr>
        <w:t>Figure S</w:t>
      </w:r>
      <w:r>
        <w:rPr>
          <w:rFonts w:ascii="Arial" w:hAnsi="Arial" w:cs="Arial" w:hint="eastAsia"/>
          <w:b/>
          <w:snapToGrid w:val="0"/>
          <w:color w:val="000000"/>
          <w:sz w:val="24"/>
          <w:szCs w:val="24"/>
          <w:lang w:bidi="en-US"/>
        </w:rPr>
        <w:t>4</w:t>
      </w:r>
      <w:r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de-DE" w:bidi="en-US"/>
        </w:rPr>
        <w:t xml:space="preserve">. </w:t>
      </w:r>
      <w: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  <w:t xml:space="preserve">Heatmap showing the relative abundance of top 50 bacterial genera inhabiting the mango leaves, </w:t>
      </w:r>
      <w: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  <w:t>flowers and fruitlets.</w:t>
      </w:r>
    </w:p>
    <w:p w:rsidR="00CA3B9C" w:rsidRDefault="00CA3B9C">
      <w:pP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5C160D">
      <w:pP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486400" cy="4184650"/>
            <wp:effectExtent l="19050" t="0" r="0" b="0"/>
            <wp:docPr id="6" name="Picture 6" descr="E:\Baise University InshaALLAH Associate Professor\Papers\Mango research article\Submission\Biomolecules\Fig.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E:\Baise University InshaALLAH Associate Professor\Papers\Mango research article\Submission\Biomolecules\Fig. S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9C" w:rsidRDefault="005C160D">
      <w:pPr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  <w:r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de-DE" w:bidi="en-US"/>
        </w:rPr>
        <w:t>Figure S</w:t>
      </w:r>
      <w:r>
        <w:rPr>
          <w:rFonts w:ascii="Arial" w:hAnsi="Arial" w:cs="Arial" w:hint="eastAsia"/>
          <w:b/>
          <w:snapToGrid w:val="0"/>
          <w:color w:val="000000"/>
          <w:sz w:val="24"/>
          <w:szCs w:val="24"/>
          <w:lang w:bidi="en-US"/>
        </w:rPr>
        <w:t>5</w:t>
      </w:r>
      <w:r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de-DE" w:bidi="en-US"/>
        </w:rPr>
        <w:t xml:space="preserve">. </w:t>
      </w:r>
      <w: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  <w:t>Heatmap showing the relative abundance of top 50 funagl genera inhabiting the mango leaves, flowers and fruitlets.</w:t>
      </w:r>
    </w:p>
    <w:p w:rsidR="00CA3B9C" w:rsidRDefault="00CA3B9C">
      <w:pPr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CA3B9C">
      <w:pPr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CA3B9C">
      <w:pPr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CA3B9C">
      <w:pPr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CA3B9C">
      <w:pPr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CA3B9C">
      <w:pPr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CA3B9C">
      <w:pPr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CA3B9C">
      <w:pPr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CA3B9C">
      <w:pPr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CA3B9C">
      <w:pPr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5C160D">
      <w:pPr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486400" cy="7211060"/>
            <wp:effectExtent l="19050" t="0" r="0" b="0"/>
            <wp:docPr id="3" name="Picture 1" descr="F:\Mango revised analysis\Figures\Supplementary Figure 6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F:\Mango revised analysis\Figures\Supplementary Figure 6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9C" w:rsidRPr="00082A27" w:rsidRDefault="005C160D">
      <w:pPr>
        <w:jc w:val="both"/>
        <w:rPr>
          <w:rFonts w:ascii="Arial" w:hAnsi="Arial" w:cs="Arial" w:hint="eastAsia"/>
          <w:snapToGrid w:val="0"/>
          <w:color w:val="000000"/>
          <w:sz w:val="24"/>
          <w:szCs w:val="24"/>
          <w:lang w:bidi="en-US"/>
        </w:rPr>
      </w:pPr>
      <w:r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de-DE" w:bidi="en-US"/>
        </w:rPr>
        <w:t>Figure S</w:t>
      </w:r>
      <w:r>
        <w:rPr>
          <w:rFonts w:ascii="Arial" w:hAnsi="Arial" w:cs="Arial" w:hint="eastAsia"/>
          <w:b/>
          <w:snapToGrid w:val="0"/>
          <w:color w:val="000000"/>
          <w:sz w:val="24"/>
          <w:szCs w:val="24"/>
          <w:lang w:bidi="en-US"/>
        </w:rPr>
        <w:t>6</w:t>
      </w:r>
      <w:r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de-DE" w:bidi="en-US"/>
        </w:rPr>
        <w:t xml:space="preserve">. </w:t>
      </w:r>
      <w: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  <w:t xml:space="preserve">The unique bacterial taxa across leaves (A), flowers (B), and fruitlets (C) </w:t>
      </w:r>
      <w: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  <w:t>at the genus level are depicted in the pie chart.</w:t>
      </w:r>
      <w:r w:rsidR="00082A27">
        <w:rPr>
          <w:rFonts w:ascii="Arial" w:hAnsi="Arial" w:cs="Arial" w:hint="eastAsia"/>
          <w:snapToGrid w:val="0"/>
          <w:color w:val="000000"/>
          <w:sz w:val="24"/>
          <w:szCs w:val="24"/>
          <w:lang w:bidi="en-US"/>
        </w:rPr>
        <w:t xml:space="preserve"> </w:t>
      </w:r>
      <w:r w:rsidR="00082A27" w:rsidRPr="008B26D0">
        <w:rPr>
          <w:rFonts w:ascii="Arial" w:eastAsia="宋体" w:hAnsi="Arial" w:cs="Arial" w:hint="eastAsia"/>
          <w:sz w:val="24"/>
          <w:szCs w:val="24"/>
        </w:rPr>
        <w:t>Core bacterial genera are highlighted in blue font in the pi</w:t>
      </w:r>
      <w:r w:rsidR="00082A27">
        <w:rPr>
          <w:rFonts w:ascii="Arial" w:eastAsia="宋体" w:hAnsi="Arial" w:cs="Arial" w:hint="eastAsia"/>
          <w:sz w:val="24"/>
          <w:szCs w:val="24"/>
        </w:rPr>
        <w:t>e</w:t>
      </w:r>
      <w:r w:rsidR="00082A27" w:rsidRPr="008B26D0">
        <w:rPr>
          <w:rFonts w:ascii="Arial" w:eastAsia="宋体" w:hAnsi="Arial" w:cs="Arial" w:hint="eastAsia"/>
          <w:sz w:val="24"/>
          <w:szCs w:val="24"/>
        </w:rPr>
        <w:t xml:space="preserve"> chart.</w:t>
      </w:r>
    </w:p>
    <w:p w:rsidR="00CA3B9C" w:rsidRDefault="00CA3B9C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CA3B9C" w:rsidRDefault="005C160D">
      <w:pPr>
        <w:jc w:val="both"/>
        <w:rPr>
          <w:rFonts w:ascii="Arial" w:hAnsi="Arial" w:cs="Arial"/>
          <w:snapToGrid w:val="0"/>
          <w:color w:val="000000"/>
          <w:sz w:val="24"/>
          <w:szCs w:val="24"/>
          <w:lang w:eastAsia="de-DE" w:bidi="en-US"/>
        </w:rPr>
      </w:pPr>
      <w:r>
        <w:rPr>
          <w:rFonts w:ascii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4756785" cy="7112635"/>
            <wp:effectExtent l="19050" t="0" r="5569" b="0"/>
            <wp:docPr id="4" name="Picture 2" descr="F:\Mango revised analysis\Figures\Supplementary Figure 7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F:\Mango revised analysis\Figures\Supplementary Figure 7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6811" cy="711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9C" w:rsidRDefault="005C160D">
      <w:pPr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  <w:r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de-DE" w:bidi="en-US"/>
        </w:rPr>
        <w:t>Figure S</w:t>
      </w:r>
      <w:r>
        <w:rPr>
          <w:rFonts w:ascii="Arial" w:hAnsi="Arial" w:cs="Arial" w:hint="eastAsia"/>
          <w:b/>
          <w:snapToGrid w:val="0"/>
          <w:color w:val="000000"/>
          <w:sz w:val="24"/>
          <w:szCs w:val="24"/>
          <w:lang w:bidi="en-US"/>
        </w:rPr>
        <w:t>7</w:t>
      </w:r>
      <w:r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de-DE" w:bidi="en-US"/>
        </w:rPr>
        <w:t xml:space="preserve">. </w:t>
      </w:r>
      <w: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  <w:t>The unique fungal taxa across leaves (A), flowers (B), and fruitlets (C) at the genus level are depicted in the pie chart.</w:t>
      </w:r>
      <w:r w:rsidR="00082A27" w:rsidRPr="00082A27">
        <w:rPr>
          <w:rFonts w:ascii="Arial" w:eastAsia="宋体" w:hAnsi="Arial" w:cs="Arial" w:hint="eastAsia"/>
          <w:sz w:val="24"/>
          <w:szCs w:val="24"/>
        </w:rPr>
        <w:t xml:space="preserve"> </w:t>
      </w:r>
      <w:r w:rsidR="00082A27" w:rsidRPr="008B26D0">
        <w:rPr>
          <w:rFonts w:ascii="Arial" w:eastAsia="宋体" w:hAnsi="Arial" w:cs="Arial" w:hint="eastAsia"/>
          <w:sz w:val="24"/>
          <w:szCs w:val="24"/>
        </w:rPr>
        <w:t xml:space="preserve">Core </w:t>
      </w:r>
      <w:r w:rsidR="00082A27">
        <w:rPr>
          <w:rFonts w:ascii="Arial" w:eastAsia="宋体" w:hAnsi="Arial" w:cs="Arial" w:hint="eastAsia"/>
          <w:sz w:val="24"/>
          <w:szCs w:val="24"/>
        </w:rPr>
        <w:t>fungal</w:t>
      </w:r>
      <w:r w:rsidR="00082A27" w:rsidRPr="008B26D0">
        <w:rPr>
          <w:rFonts w:ascii="Arial" w:eastAsia="宋体" w:hAnsi="Arial" w:cs="Arial" w:hint="eastAsia"/>
          <w:sz w:val="24"/>
          <w:szCs w:val="24"/>
        </w:rPr>
        <w:t xml:space="preserve"> genera are highlighted in blue font in the pi</w:t>
      </w:r>
      <w:r w:rsidR="00082A27">
        <w:rPr>
          <w:rFonts w:ascii="Arial" w:eastAsia="宋体" w:hAnsi="Arial" w:cs="Arial" w:hint="eastAsia"/>
          <w:sz w:val="24"/>
          <w:szCs w:val="24"/>
        </w:rPr>
        <w:t>e</w:t>
      </w:r>
      <w:r w:rsidR="00082A27" w:rsidRPr="008B26D0">
        <w:rPr>
          <w:rFonts w:ascii="Arial" w:eastAsia="宋体" w:hAnsi="Arial" w:cs="Arial" w:hint="eastAsia"/>
          <w:sz w:val="24"/>
          <w:szCs w:val="24"/>
        </w:rPr>
        <w:t xml:space="preserve"> chart.</w:t>
      </w:r>
    </w:p>
    <w:p w:rsidR="00CA3B9C" w:rsidRDefault="00CA3B9C">
      <w:pPr>
        <w:rPr>
          <w:rFonts w:ascii="Arial" w:hAnsi="Arial" w:cs="Arial"/>
          <w:b/>
          <w:snapToGrid w:val="0"/>
          <w:color w:val="000000"/>
          <w:sz w:val="24"/>
          <w:szCs w:val="24"/>
          <w:lang w:bidi="en-US"/>
        </w:rPr>
      </w:pPr>
    </w:p>
    <w:p w:rsidR="00CA3B9C" w:rsidRDefault="005C160D">
      <w:pP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  <w:r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de-DE" w:bidi="en-US"/>
        </w:rPr>
        <w:t xml:space="preserve">Table S1. </w:t>
      </w:r>
      <w: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  <w:t xml:space="preserve">Taxonomic information of bacterial ASVs significantly </w:t>
      </w:r>
      <w: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  <w:t>enriched in mango leaves as compared to both flowers and fruitlets.</w:t>
      </w:r>
    </w:p>
    <w:tbl>
      <w:tblPr>
        <w:tblStyle w:val="TableGrid"/>
        <w:tblW w:w="9018" w:type="dxa"/>
        <w:tblLayout w:type="fixed"/>
        <w:tblLook w:val="04A0"/>
      </w:tblPr>
      <w:tblGrid>
        <w:gridCol w:w="828"/>
        <w:gridCol w:w="1265"/>
        <w:gridCol w:w="6925"/>
      </w:tblGrid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S. No.</w:t>
            </w:r>
          </w:p>
        </w:tc>
        <w:tc>
          <w:tcPr>
            <w:tcW w:w="126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ASVs</w:t>
            </w:r>
          </w:p>
        </w:tc>
        <w:tc>
          <w:tcPr>
            <w:tcW w:w="692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taxonomy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1</w:t>
            </w:r>
          </w:p>
        </w:tc>
        <w:tc>
          <w:tcPr>
            <w:tcW w:w="126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ASV102</w:t>
            </w:r>
          </w:p>
        </w:tc>
        <w:tc>
          <w:tcPr>
            <w:tcW w:w="692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d__Bacteria;p__Bacillota;c__Bacilli;o__Lactobacillales;f__Lactobacillaceae;g__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Lactiplantibacillus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2</w:t>
            </w:r>
          </w:p>
        </w:tc>
        <w:tc>
          <w:tcPr>
            <w:tcW w:w="126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ASV36</w:t>
            </w:r>
          </w:p>
        </w:tc>
        <w:tc>
          <w:tcPr>
            <w:tcW w:w="692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d__Bacteria;p__Actinomycetota;c__Actinobacteria;o__Micrococcales;f__Microbacteriaceae;g__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Curtobacterium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3</w:t>
            </w:r>
          </w:p>
        </w:tc>
        <w:tc>
          <w:tcPr>
            <w:tcW w:w="126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ASV53</w:t>
            </w:r>
          </w:p>
        </w:tc>
        <w:tc>
          <w:tcPr>
            <w:tcW w:w="692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d__Bacteria;p__Actinomycetota;c__Actinobacteria;o__Frankiales;f__Frankiaceae;g__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Jatrophihabitans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4</w:t>
            </w:r>
          </w:p>
        </w:tc>
        <w:tc>
          <w:tcPr>
            <w:tcW w:w="126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ASV17</w:t>
            </w:r>
          </w:p>
        </w:tc>
        <w:tc>
          <w:tcPr>
            <w:tcW w:w="692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d__Bacteria;p__Actinomycetota;c__Actinobacteria;o__Bifidobacteriales;f__Bifidobacteriaceae;g__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Bifidobacterium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5</w:t>
            </w:r>
          </w:p>
        </w:tc>
        <w:tc>
          <w:tcPr>
            <w:tcW w:w="126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ASV19</w:t>
            </w:r>
          </w:p>
        </w:tc>
        <w:tc>
          <w:tcPr>
            <w:tcW w:w="692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d__Bacteria;p__Bacillota;c__Bacilli;o__Bacillales;f__Bacillaceae;g__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Bacillus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6</w:t>
            </w:r>
          </w:p>
        </w:tc>
        <w:tc>
          <w:tcPr>
            <w:tcW w:w="126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ASV20</w:t>
            </w:r>
          </w:p>
        </w:tc>
        <w:tc>
          <w:tcPr>
            <w:tcW w:w="692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d__Bacteria;p__Pseudomonadota;c__Gammaproteobacteri</w:t>
            </w: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a;o__Pseudomonadales;f__Pseudomonadaceae;g__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Pseudomonas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7</w:t>
            </w:r>
          </w:p>
        </w:tc>
        <w:tc>
          <w:tcPr>
            <w:tcW w:w="126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ASV99</w:t>
            </w:r>
          </w:p>
        </w:tc>
        <w:tc>
          <w:tcPr>
            <w:tcW w:w="692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d__Bacteria;p__Pseudomonadota;c__Gammaproteobacteria;o__Pseudomonadales;f__Pseudomonadaceae;g__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Pseudomonas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8</w:t>
            </w:r>
          </w:p>
        </w:tc>
        <w:tc>
          <w:tcPr>
            <w:tcW w:w="126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ASV45</w:t>
            </w:r>
          </w:p>
        </w:tc>
        <w:tc>
          <w:tcPr>
            <w:tcW w:w="692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d__Bacteria;p__Actinomycetota;c__Actinobacteria;o__Frankiales;f__Geodermatophilaceae;g__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Klenkia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9</w:t>
            </w:r>
          </w:p>
        </w:tc>
        <w:tc>
          <w:tcPr>
            <w:tcW w:w="126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ASV208</w:t>
            </w:r>
          </w:p>
        </w:tc>
        <w:tc>
          <w:tcPr>
            <w:tcW w:w="692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d__Bacteria;p__Actinomycetota;c__Actinobacteria;o__Kineosporiales;f__Kineosporiaceae;g__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Quadrisphaera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10</w:t>
            </w:r>
          </w:p>
        </w:tc>
        <w:tc>
          <w:tcPr>
            <w:tcW w:w="126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ASV73</w:t>
            </w:r>
          </w:p>
        </w:tc>
        <w:tc>
          <w:tcPr>
            <w:tcW w:w="692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d__Bacteria;k__norank_d__Bacteria;p__A</w:t>
            </w: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ctinomycetota;c__Actinobacteria;o__Propionibacteriales;f__Nocardioidaceae;g__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Marmoricola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11</w:t>
            </w:r>
          </w:p>
        </w:tc>
        <w:tc>
          <w:tcPr>
            <w:tcW w:w="126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ASV229</w:t>
            </w:r>
          </w:p>
        </w:tc>
        <w:tc>
          <w:tcPr>
            <w:tcW w:w="692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d__Bacteria;p__Pseudomonadota;c__Gammaproteobacteria;o__Pseudomonadales;f__Moraxellaceae;g__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Acinetobacter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12</w:t>
            </w:r>
          </w:p>
        </w:tc>
        <w:tc>
          <w:tcPr>
            <w:tcW w:w="126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ASV31</w:t>
            </w:r>
          </w:p>
        </w:tc>
        <w:tc>
          <w:tcPr>
            <w:tcW w:w="692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d__Bacteria;p__Bacillota;c__Bacilli;o__Lactobacillales;f__Streptococcaceae;g__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Lactococcus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13</w:t>
            </w:r>
          </w:p>
        </w:tc>
        <w:tc>
          <w:tcPr>
            <w:tcW w:w="126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ASV130</w:t>
            </w:r>
          </w:p>
        </w:tc>
        <w:tc>
          <w:tcPr>
            <w:tcW w:w="692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d__Bacteria;p__Actinomycetota;c__Actinobacteria;o__Propionibacteriales;f__Nocardioidaceae;g__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Nocardioides</w:t>
            </w:r>
          </w:p>
        </w:tc>
      </w:tr>
    </w:tbl>
    <w:p w:rsidR="00CA3B9C" w:rsidRDefault="00CA3B9C">
      <w:pP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5C160D">
      <w:pP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  <w:r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de-DE" w:bidi="en-US"/>
        </w:rPr>
        <w:t xml:space="preserve">Table S2. </w:t>
      </w:r>
      <w: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  <w:t>Taxonomic information of bacterial AS</w:t>
      </w:r>
      <w: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  <w:t>Vs significantly enriched in mango fruitlet as compared to both leaves and flowers.</w:t>
      </w:r>
    </w:p>
    <w:tbl>
      <w:tblPr>
        <w:tblStyle w:val="TableGrid"/>
        <w:tblW w:w="9018" w:type="dxa"/>
        <w:tblLayout w:type="fixed"/>
        <w:tblLook w:val="04A0"/>
      </w:tblPr>
      <w:tblGrid>
        <w:gridCol w:w="828"/>
        <w:gridCol w:w="1265"/>
        <w:gridCol w:w="6925"/>
      </w:tblGrid>
      <w:tr w:rsidR="00CA3B9C">
        <w:tc>
          <w:tcPr>
            <w:tcW w:w="828" w:type="dxa"/>
          </w:tcPr>
          <w:p w:rsidR="00CA3B9C" w:rsidRDefault="00CA3B9C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1265" w:type="dxa"/>
          </w:tcPr>
          <w:p w:rsidR="00CA3B9C" w:rsidRDefault="00CA3B9C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  <w:tc>
          <w:tcPr>
            <w:tcW w:w="6925" w:type="dxa"/>
          </w:tcPr>
          <w:p w:rsidR="00CA3B9C" w:rsidRDefault="00CA3B9C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1</w:t>
            </w:r>
          </w:p>
        </w:tc>
        <w:tc>
          <w:tcPr>
            <w:tcW w:w="126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ASV178</w:t>
            </w:r>
          </w:p>
        </w:tc>
        <w:tc>
          <w:tcPr>
            <w:tcW w:w="692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d__Bacteria;p__Pseudomonadota;c__Alphaproteobacteria;o__Acetobacterales;f__Acetobacteraceae;g__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Asaia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2</w:t>
            </w:r>
          </w:p>
        </w:tc>
        <w:tc>
          <w:tcPr>
            <w:tcW w:w="126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ASV410</w:t>
            </w:r>
          </w:p>
        </w:tc>
        <w:tc>
          <w:tcPr>
            <w:tcW w:w="692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d__Bacteria;p__Pseudomonadota;c__Gammaproteobact</w:t>
            </w: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eria;o__Enterobacterales;f__unclassified_o__Enterobacterales;g__unclassified_o__Enterobacterales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3</w:t>
            </w:r>
          </w:p>
        </w:tc>
        <w:tc>
          <w:tcPr>
            <w:tcW w:w="126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ASV185</w:t>
            </w:r>
          </w:p>
        </w:tc>
        <w:tc>
          <w:tcPr>
            <w:tcW w:w="6925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d__Bacteria;p__Pseudomonadota;c__Gammaproteobacteria;o__Enterobacterales;f__unclassified_o__Enterobacterales;g__unclassified_o__Enterobacterales</w:t>
            </w:r>
          </w:p>
        </w:tc>
      </w:tr>
    </w:tbl>
    <w:p w:rsidR="00CA3B9C" w:rsidRDefault="00CA3B9C">
      <w:pP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hAnsi="Arial" w:cs="Arial"/>
          <w:snapToGrid w:val="0"/>
          <w:color w:val="000000"/>
          <w:sz w:val="24"/>
          <w:szCs w:val="24"/>
          <w:lang w:bidi="en-US"/>
        </w:rPr>
      </w:pPr>
    </w:p>
    <w:p w:rsidR="00CA3B9C" w:rsidRDefault="00CA3B9C">
      <w:pPr>
        <w:rPr>
          <w:rFonts w:ascii="Arial" w:hAnsi="Arial" w:cs="Arial"/>
          <w:snapToGrid w:val="0"/>
          <w:color w:val="000000"/>
          <w:sz w:val="24"/>
          <w:szCs w:val="24"/>
          <w:lang w:bidi="en-US"/>
        </w:rPr>
      </w:pPr>
    </w:p>
    <w:p w:rsidR="00CA3B9C" w:rsidRDefault="005C160D">
      <w:pP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  <w:r>
        <w:rPr>
          <w:rFonts w:ascii="Arial" w:eastAsia="Times New Roman" w:hAnsi="Arial" w:cs="Arial"/>
          <w:b/>
          <w:snapToGrid w:val="0"/>
          <w:color w:val="000000"/>
          <w:sz w:val="24"/>
          <w:szCs w:val="24"/>
          <w:lang w:eastAsia="de-DE" w:bidi="en-US"/>
        </w:rPr>
        <w:t xml:space="preserve">Table S3. </w:t>
      </w:r>
      <w: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  <w:t>Taxonomic information of fungal ASVs significantly enriched in mango leaves as compared to both flowers and fruitlets.</w:t>
      </w:r>
    </w:p>
    <w:tbl>
      <w:tblPr>
        <w:tblStyle w:val="TableGrid"/>
        <w:tblW w:w="9018" w:type="dxa"/>
        <w:tblLayout w:type="fixed"/>
        <w:tblLook w:val="04A0"/>
      </w:tblPr>
      <w:tblGrid>
        <w:gridCol w:w="828"/>
        <w:gridCol w:w="990"/>
        <w:gridCol w:w="7200"/>
      </w:tblGrid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S. No.</w:t>
            </w:r>
          </w:p>
        </w:tc>
        <w:tc>
          <w:tcPr>
            <w:tcW w:w="990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ASVs</w:t>
            </w:r>
          </w:p>
        </w:tc>
        <w:tc>
          <w:tcPr>
            <w:tcW w:w="7200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taxonomy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1</w:t>
            </w:r>
          </w:p>
        </w:tc>
        <w:tc>
          <w:tcPr>
            <w:tcW w:w="990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ASV77</w:t>
            </w:r>
          </w:p>
        </w:tc>
        <w:tc>
          <w:tcPr>
            <w:tcW w:w="7200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d__Fungi;p__Ascomycota;c__Dothideomycetes;o__Pleosporales;f__Didymellaceae;g__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Epicoccum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2</w:t>
            </w:r>
          </w:p>
        </w:tc>
        <w:tc>
          <w:tcPr>
            <w:tcW w:w="990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ASV37</w:t>
            </w:r>
          </w:p>
        </w:tc>
        <w:tc>
          <w:tcPr>
            <w:tcW w:w="7200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d__Fungi;p__Ascomycota;c__Dothideomycetes;o__Pleosporales;f__Didymellaceae;g__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Epicoccum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bidi="en-US"/>
              </w:rPr>
            </w:pPr>
            <w:r>
              <w:rPr>
                <w:rFonts w:ascii="Arial" w:hAnsi="Arial" w:cs="Arial" w:hint="eastAsia"/>
                <w:snapToGrid w:val="0"/>
                <w:color w:val="000000"/>
                <w:sz w:val="20"/>
                <w:szCs w:val="20"/>
                <w:lang w:bidi="en-US"/>
              </w:rPr>
              <w:t>3</w:t>
            </w:r>
          </w:p>
        </w:tc>
        <w:tc>
          <w:tcPr>
            <w:tcW w:w="990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ASV73</w:t>
            </w:r>
          </w:p>
        </w:tc>
        <w:tc>
          <w:tcPr>
            <w:tcW w:w="7200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d__Fungi;p__Basidiomycota;c__Cystobasidiomycetes;o__Cystobasidiomycetes_ord_Incertae_sedis;f__Symmetrosporaceae;g__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Symmetrospora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bidi="en-US"/>
              </w:rPr>
            </w:pPr>
            <w:r>
              <w:rPr>
                <w:rFonts w:ascii="Arial" w:hAnsi="Arial" w:cs="Arial" w:hint="eastAsia"/>
                <w:snapToGrid w:val="0"/>
                <w:color w:val="000000"/>
                <w:sz w:val="20"/>
                <w:szCs w:val="20"/>
                <w:lang w:bidi="en-US"/>
              </w:rPr>
              <w:t>4</w:t>
            </w:r>
          </w:p>
        </w:tc>
        <w:tc>
          <w:tcPr>
            <w:tcW w:w="990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ASV78</w:t>
            </w:r>
          </w:p>
        </w:tc>
        <w:tc>
          <w:tcPr>
            <w:tcW w:w="7200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d__Fungi;p__Ascomycota;c__Dothideomycetes;o__Pleosporales;f__Didymellaceae;g__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Epicoccum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bidi="en-US"/>
              </w:rPr>
            </w:pPr>
            <w:r>
              <w:rPr>
                <w:rFonts w:ascii="Arial" w:hAnsi="Arial" w:cs="Arial" w:hint="eastAsia"/>
                <w:snapToGrid w:val="0"/>
                <w:color w:val="000000"/>
                <w:sz w:val="20"/>
                <w:szCs w:val="20"/>
                <w:lang w:bidi="en-US"/>
              </w:rPr>
              <w:t>5</w:t>
            </w:r>
          </w:p>
        </w:tc>
        <w:tc>
          <w:tcPr>
            <w:tcW w:w="990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ASV74</w:t>
            </w:r>
          </w:p>
        </w:tc>
        <w:tc>
          <w:tcPr>
            <w:tcW w:w="7200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d__Fungi;p__Basidiomycota;c__Agaricomycetes;o__Corticiales;f__Corticiaceae;g__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Duportella</w:t>
            </w:r>
          </w:p>
        </w:tc>
      </w:tr>
      <w:tr w:rsidR="00CA3B9C">
        <w:tc>
          <w:tcPr>
            <w:tcW w:w="828" w:type="dxa"/>
          </w:tcPr>
          <w:p w:rsidR="00CA3B9C" w:rsidRDefault="005C160D">
            <w:pPr>
              <w:spacing w:after="0"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  <w:lang w:bidi="en-US"/>
              </w:rPr>
            </w:pPr>
            <w:r>
              <w:rPr>
                <w:rFonts w:ascii="Arial" w:hAnsi="Arial" w:cs="Arial" w:hint="eastAsia"/>
                <w:snapToGrid w:val="0"/>
                <w:color w:val="000000"/>
                <w:sz w:val="20"/>
                <w:szCs w:val="20"/>
                <w:lang w:bidi="en-US"/>
              </w:rPr>
              <w:t>6</w:t>
            </w:r>
          </w:p>
        </w:tc>
        <w:tc>
          <w:tcPr>
            <w:tcW w:w="990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ASV149</w:t>
            </w:r>
          </w:p>
        </w:tc>
        <w:tc>
          <w:tcPr>
            <w:tcW w:w="7200" w:type="dxa"/>
          </w:tcPr>
          <w:p w:rsidR="00CA3B9C" w:rsidRDefault="005C160D">
            <w:pPr>
              <w:spacing w:after="0" w:line="240" w:lineRule="auto"/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</w:pPr>
            <w:r>
              <w:rPr>
                <w:rFonts w:ascii="Arial" w:eastAsia="Times New Roman" w:hAnsi="Arial" w:cs="Arial"/>
                <w:snapToGrid w:val="0"/>
                <w:color w:val="000000"/>
                <w:sz w:val="20"/>
                <w:szCs w:val="20"/>
                <w:lang w:eastAsia="de-DE" w:bidi="en-US"/>
              </w:rPr>
              <w:t>d__Fungi;p__Basidiomycota;c__Cystobasidiomycetes;o__Cystobasidiomycetes_ord_Incertae_sedis;f__Symmetrosporaceae;g__</w:t>
            </w:r>
            <w:r>
              <w:rPr>
                <w:rFonts w:ascii="Arial" w:eastAsia="Times New Roman" w:hAnsi="Arial" w:cs="Arial"/>
                <w:i/>
                <w:snapToGrid w:val="0"/>
                <w:color w:val="000000"/>
                <w:sz w:val="20"/>
                <w:szCs w:val="20"/>
                <w:lang w:eastAsia="de-DE" w:bidi="en-US"/>
              </w:rPr>
              <w:t>Symmetrospora</w:t>
            </w:r>
          </w:p>
        </w:tc>
      </w:tr>
    </w:tbl>
    <w:p w:rsidR="00CA3B9C" w:rsidRDefault="00CA3B9C">
      <w:pPr>
        <w:rPr>
          <w:rFonts w:ascii="Arial" w:eastAsia="Times New Roman" w:hAnsi="Arial" w:cs="Arial"/>
          <w:snapToGrid w:val="0"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p w:rsidR="00CA3B9C" w:rsidRDefault="00CA3B9C">
      <w:pPr>
        <w:rPr>
          <w:rFonts w:ascii="Arial" w:eastAsia="Times New Roman" w:hAnsi="Arial" w:cs="Arial"/>
          <w:b/>
          <w:color w:val="000000"/>
          <w:sz w:val="24"/>
          <w:szCs w:val="24"/>
          <w:lang w:eastAsia="de-DE" w:bidi="en-US"/>
        </w:rPr>
      </w:pPr>
    </w:p>
    <w:sectPr w:rsidR="00CA3B9C" w:rsidSect="00CA3B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60D" w:rsidRDefault="005C160D">
      <w:pPr>
        <w:spacing w:line="240" w:lineRule="auto"/>
      </w:pPr>
      <w:r>
        <w:separator/>
      </w:r>
    </w:p>
  </w:endnote>
  <w:endnote w:type="continuationSeparator" w:id="1">
    <w:p w:rsidR="005C160D" w:rsidRDefault="005C160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60D" w:rsidRDefault="005C160D">
      <w:pPr>
        <w:spacing w:after="0"/>
      </w:pPr>
      <w:r>
        <w:separator/>
      </w:r>
    </w:p>
  </w:footnote>
  <w:footnote w:type="continuationSeparator" w:id="1">
    <w:p w:rsidR="005C160D" w:rsidRDefault="005C160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4CFF"/>
    <w:rsid w:val="00082A27"/>
    <w:rsid w:val="000C17F8"/>
    <w:rsid w:val="000C4CA5"/>
    <w:rsid w:val="0011144D"/>
    <w:rsid w:val="00115761"/>
    <w:rsid w:val="0012323C"/>
    <w:rsid w:val="001C74D3"/>
    <w:rsid w:val="001E3223"/>
    <w:rsid w:val="002320B1"/>
    <w:rsid w:val="002810A7"/>
    <w:rsid w:val="002857EC"/>
    <w:rsid w:val="002C5097"/>
    <w:rsid w:val="002E4CFF"/>
    <w:rsid w:val="00305C91"/>
    <w:rsid w:val="0033062D"/>
    <w:rsid w:val="00337012"/>
    <w:rsid w:val="00357A50"/>
    <w:rsid w:val="003F4830"/>
    <w:rsid w:val="0046335B"/>
    <w:rsid w:val="0049438C"/>
    <w:rsid w:val="004A661D"/>
    <w:rsid w:val="004C4EFC"/>
    <w:rsid w:val="004F5716"/>
    <w:rsid w:val="0052065B"/>
    <w:rsid w:val="00557988"/>
    <w:rsid w:val="005625F2"/>
    <w:rsid w:val="005A2CF8"/>
    <w:rsid w:val="005C160D"/>
    <w:rsid w:val="005C471B"/>
    <w:rsid w:val="005D6864"/>
    <w:rsid w:val="006E6E14"/>
    <w:rsid w:val="006F29E5"/>
    <w:rsid w:val="007118E1"/>
    <w:rsid w:val="00760021"/>
    <w:rsid w:val="00787C2F"/>
    <w:rsid w:val="007932C0"/>
    <w:rsid w:val="00795976"/>
    <w:rsid w:val="007D57AA"/>
    <w:rsid w:val="007F0BC7"/>
    <w:rsid w:val="008F641E"/>
    <w:rsid w:val="009074E9"/>
    <w:rsid w:val="00910266"/>
    <w:rsid w:val="009762CA"/>
    <w:rsid w:val="0097790D"/>
    <w:rsid w:val="009E2AE1"/>
    <w:rsid w:val="00A10677"/>
    <w:rsid w:val="00AC4C53"/>
    <w:rsid w:val="00B14BEA"/>
    <w:rsid w:val="00B55327"/>
    <w:rsid w:val="00B90894"/>
    <w:rsid w:val="00C1363B"/>
    <w:rsid w:val="00C16358"/>
    <w:rsid w:val="00C21A29"/>
    <w:rsid w:val="00CA3B9C"/>
    <w:rsid w:val="00CC0D4A"/>
    <w:rsid w:val="00CF54FF"/>
    <w:rsid w:val="00D47AED"/>
    <w:rsid w:val="00D57DBF"/>
    <w:rsid w:val="00D865CF"/>
    <w:rsid w:val="00D973E2"/>
    <w:rsid w:val="00DD29EA"/>
    <w:rsid w:val="00E91A12"/>
    <w:rsid w:val="00E94B0D"/>
    <w:rsid w:val="00EA2B38"/>
    <w:rsid w:val="00F161DE"/>
    <w:rsid w:val="00FC47DE"/>
    <w:rsid w:val="00FF151E"/>
    <w:rsid w:val="3E8D1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B9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A3B9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A3B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13authornames">
    <w:name w:val="MDPI_1.3_authornames"/>
    <w:next w:val="Normal"/>
    <w:qFormat/>
    <w:rsid w:val="00CA3B9C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CA3B9C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eastAsia="de-DE" w:bidi="en-US"/>
    </w:rPr>
  </w:style>
  <w:style w:type="paragraph" w:customStyle="1" w:styleId="MDPI16affiliation">
    <w:name w:val="MDPI_1.6_affiliation"/>
    <w:qFormat/>
    <w:rsid w:val="00CA3B9C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61citation">
    <w:name w:val="MDPI_6.1_citation"/>
    <w:qFormat/>
    <w:rsid w:val="00CA3B9C"/>
    <w:pPr>
      <w:adjustRightInd w:val="0"/>
      <w:snapToGrid w:val="0"/>
      <w:spacing w:before="120" w:after="120" w:line="240" w:lineRule="atLeast"/>
      <w:ind w:right="113"/>
    </w:pPr>
    <w:rPr>
      <w:rFonts w:ascii="Palatino Linotype" w:eastAsia="宋体" w:hAnsi="Palatino Linotype" w:cs="Cordia New"/>
      <w:sz w:val="14"/>
      <w:szCs w:val="22"/>
    </w:rPr>
  </w:style>
  <w:style w:type="paragraph" w:customStyle="1" w:styleId="MDPI15academiceditor">
    <w:name w:val="MDPI_1.5_academic_editor"/>
    <w:qFormat/>
    <w:rsid w:val="00CA3B9C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2"/>
      <w:lang w:eastAsia="de-DE" w:bidi="en-US"/>
    </w:rPr>
  </w:style>
  <w:style w:type="paragraph" w:customStyle="1" w:styleId="MDPI72copyright">
    <w:name w:val="MDPI_7.2_copyright"/>
    <w:qFormat/>
    <w:rsid w:val="00CA3B9C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snapToGrid w:val="0"/>
      <w:color w:val="000000"/>
      <w:sz w:val="14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B9C"/>
    <w:rPr>
      <w:rFonts w:ascii="Tahoma" w:hAnsi="Tahoma" w:cs="Tahoma"/>
      <w:sz w:val="16"/>
      <w:szCs w:val="16"/>
    </w:rPr>
  </w:style>
  <w:style w:type="paragraph" w:customStyle="1" w:styleId="MDPI11articletype">
    <w:name w:val="MDPI_1.1_article_type"/>
    <w:next w:val="Normal"/>
    <w:qFormat/>
    <w:rsid w:val="00CA3B9C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Normal"/>
    <w:qFormat/>
    <w:rsid w:val="00CA3B9C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lang w:eastAsia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5FAF0-4B7C-49EE-B386-79B6DCF1C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10</Pages>
  <Words>747</Words>
  <Characters>4259</Characters>
  <Application>Microsoft Office Word</Application>
  <DocSecurity>0</DocSecurity>
  <Lines>35</Lines>
  <Paragraphs>9</Paragraphs>
  <ScaleCrop>false</ScaleCrop>
  <Company>神州网信技术有限公司</Company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Muzammil Hussain</dc:creator>
  <cp:lastModifiedBy>MUZAMMIL HUSSAIN</cp:lastModifiedBy>
  <cp:revision>70</cp:revision>
  <dcterms:created xsi:type="dcterms:W3CDTF">2025-07-01T23:46:00Z</dcterms:created>
  <dcterms:modified xsi:type="dcterms:W3CDTF">2025-11-12T07:49:00Z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3076-12.2.0.23155</vt:lpwstr>
  </property>
  <property fmtid="{D5CDD505-2E9C-101B-9397-08002B2CF9AE}" pid="3" name="ICV">
    <vt:lpwstr>955A875DDE6146869AE5DFE46D708EAF_12</vt:lpwstr>
  </property>
</Properties>
</file>