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62D23" w14:textId="22CC1232" w:rsidR="004C715B" w:rsidRDefault="00463B97">
      <w:pPr>
        <w:spacing w:before="52"/>
        <w:ind w:left="109"/>
        <w:rPr>
          <w:b/>
          <w:spacing w:val="-4"/>
          <w:sz w:val="72"/>
        </w:rPr>
      </w:pPr>
      <w:r>
        <w:rPr>
          <w:b/>
          <w:sz w:val="72"/>
        </w:rPr>
        <w:t xml:space="preserve">Supplementary </w:t>
      </w:r>
      <w:r>
        <w:rPr>
          <w:b/>
          <w:spacing w:val="-4"/>
          <w:sz w:val="72"/>
        </w:rPr>
        <w:t>data</w:t>
      </w:r>
    </w:p>
    <w:p w14:paraId="09E2CCBA" w14:textId="5CD4B6C3" w:rsidR="00925AC9" w:rsidRDefault="00925AC9">
      <w:pPr>
        <w:spacing w:before="52"/>
        <w:ind w:left="109"/>
        <w:rPr>
          <w:b/>
          <w:spacing w:val="-4"/>
          <w:sz w:val="72"/>
        </w:rPr>
      </w:pPr>
    </w:p>
    <w:p w14:paraId="677443B5" w14:textId="578998A9" w:rsidR="00925AC9" w:rsidRPr="00925AC9" w:rsidRDefault="00925AC9">
      <w:pPr>
        <w:spacing w:before="52"/>
        <w:ind w:left="109"/>
        <w:rPr>
          <w:b/>
          <w:bCs/>
          <w:sz w:val="48"/>
          <w:szCs w:val="48"/>
        </w:rPr>
      </w:pPr>
      <w:r>
        <w:rPr>
          <w:b/>
          <w:bCs/>
          <w:sz w:val="48"/>
          <w:szCs w:val="48"/>
        </w:rPr>
        <w:t>Supplementary r</w:t>
      </w:r>
      <w:r w:rsidRPr="00925AC9">
        <w:rPr>
          <w:b/>
          <w:bCs/>
          <w:sz w:val="48"/>
          <w:szCs w:val="48"/>
        </w:rPr>
        <w:t>esults</w:t>
      </w:r>
    </w:p>
    <w:p w14:paraId="1609CCE7" w14:textId="11067C9B" w:rsidR="00D72361" w:rsidRPr="00E632C3" w:rsidRDefault="00D72361" w:rsidP="00E632C3">
      <w:pPr>
        <w:spacing w:before="52"/>
        <w:ind w:left="109"/>
        <w:jc w:val="both"/>
        <w:rPr>
          <w:b/>
          <w:spacing w:val="-4"/>
          <w:sz w:val="48"/>
          <w:szCs w:val="16"/>
        </w:rPr>
      </w:pPr>
    </w:p>
    <w:p w14:paraId="78513042" w14:textId="5EDE3205" w:rsidR="0006294D" w:rsidRPr="0006294D" w:rsidRDefault="0006294D" w:rsidP="00B76046">
      <w:pPr>
        <w:pStyle w:val="BodyText"/>
        <w:spacing w:before="62" w:line="276" w:lineRule="auto"/>
        <w:ind w:right="829" w:firstLine="109"/>
        <w:jc w:val="both"/>
        <w:rPr>
          <w:b/>
          <w:bCs/>
          <w:sz w:val="32"/>
          <w:szCs w:val="32"/>
        </w:rPr>
      </w:pPr>
      <w:r w:rsidRPr="0006294D">
        <w:rPr>
          <w:b/>
          <w:bCs/>
          <w:sz w:val="32"/>
          <w:szCs w:val="32"/>
        </w:rPr>
        <w:t xml:space="preserve">Salt stress impedes </w:t>
      </w:r>
      <w:r>
        <w:rPr>
          <w:b/>
          <w:bCs/>
          <w:sz w:val="32"/>
          <w:szCs w:val="32"/>
        </w:rPr>
        <w:t xml:space="preserve">the </w:t>
      </w:r>
      <w:r w:rsidRPr="0006294D">
        <w:rPr>
          <w:b/>
          <w:bCs/>
          <w:sz w:val="32"/>
          <w:szCs w:val="32"/>
        </w:rPr>
        <w:t>germination progress of Bambara groundnut seeds</w:t>
      </w:r>
    </w:p>
    <w:p w14:paraId="11FAC88F" w14:textId="77777777" w:rsidR="0006294D" w:rsidRDefault="0006294D" w:rsidP="0006294D">
      <w:pPr>
        <w:pStyle w:val="BodyText"/>
        <w:spacing w:before="62" w:line="276" w:lineRule="auto"/>
        <w:ind w:left="709" w:right="829"/>
        <w:jc w:val="both"/>
        <w:rPr>
          <w:sz w:val="32"/>
          <w:szCs w:val="32"/>
        </w:rPr>
      </w:pPr>
    </w:p>
    <w:p w14:paraId="154D6DF0" w14:textId="5CECD988" w:rsidR="005A5BFC" w:rsidRDefault="0006294D" w:rsidP="003C4137">
      <w:pPr>
        <w:pStyle w:val="BodyText"/>
        <w:spacing w:before="62" w:line="360" w:lineRule="auto"/>
        <w:ind w:left="709" w:right="829"/>
        <w:jc w:val="both"/>
        <w:rPr>
          <w:sz w:val="32"/>
          <w:szCs w:val="32"/>
        </w:rPr>
      </w:pPr>
      <w:r>
        <w:rPr>
          <w:sz w:val="32"/>
          <w:szCs w:val="32"/>
        </w:rPr>
        <w:t>A</w:t>
      </w:r>
      <w:r w:rsidR="00E632C3" w:rsidRPr="005A5BFC">
        <w:rPr>
          <w:sz w:val="32"/>
          <w:szCs w:val="32"/>
        </w:rPr>
        <w:t xml:space="preserve"> preliminary</w:t>
      </w:r>
      <w:r w:rsidR="00D72361" w:rsidRPr="005A5BFC">
        <w:rPr>
          <w:sz w:val="32"/>
          <w:szCs w:val="32"/>
        </w:rPr>
        <w:t xml:space="preserve"> study on the </w:t>
      </w:r>
      <w:r w:rsidR="00D72361" w:rsidRPr="005A5BFC">
        <w:rPr>
          <w:sz w:val="32"/>
          <w:szCs w:val="32"/>
        </w:rPr>
        <w:t xml:space="preserve">effects of salt stress on germination </w:t>
      </w:r>
      <w:r w:rsidR="00E632C3" w:rsidRPr="005A5BFC">
        <w:rPr>
          <w:sz w:val="32"/>
          <w:szCs w:val="32"/>
        </w:rPr>
        <w:t>was</w:t>
      </w:r>
      <w:r w:rsidR="00D72361" w:rsidRPr="005A5BFC">
        <w:rPr>
          <w:sz w:val="32"/>
          <w:szCs w:val="32"/>
        </w:rPr>
        <w:t xml:space="preserve"> evaluated to determine the extent of its impact. Under increasing salinity levels (0, 50, 100, 200, 300, and 400 mM NaCl), a progressive decline in germination percentage was observed across all Bambara groundnut genotypes (BGN-1</w:t>
      </w:r>
      <w:r w:rsidR="00D72361" w:rsidRPr="005A5BFC">
        <w:rPr>
          <w:sz w:val="32"/>
          <w:szCs w:val="32"/>
        </w:rPr>
        <w:t>4 and</w:t>
      </w:r>
      <w:r w:rsidR="00D72361" w:rsidRPr="005A5BFC">
        <w:rPr>
          <w:sz w:val="32"/>
          <w:szCs w:val="32"/>
        </w:rPr>
        <w:t xml:space="preserve"> BGN-2</w:t>
      </w:r>
      <w:r w:rsidR="00D72361" w:rsidRPr="005A5BFC">
        <w:rPr>
          <w:sz w:val="32"/>
          <w:szCs w:val="32"/>
        </w:rPr>
        <w:t>5</w:t>
      </w:r>
      <w:r w:rsidR="00D72361" w:rsidRPr="005A5BFC">
        <w:rPr>
          <w:sz w:val="32"/>
          <w:szCs w:val="32"/>
        </w:rPr>
        <w:t>).</w:t>
      </w:r>
      <w:r w:rsidR="00E632C3" w:rsidRPr="005A5BFC">
        <w:rPr>
          <w:sz w:val="32"/>
          <w:szCs w:val="32"/>
        </w:rPr>
        <w:t xml:space="preserve"> For BGN-14, </w:t>
      </w:r>
      <w:r w:rsidR="00E632C3" w:rsidRPr="005A5BFC">
        <w:rPr>
          <w:sz w:val="32"/>
          <w:szCs w:val="32"/>
        </w:rPr>
        <w:t>germination decreased from 100% at 0 mM to 93.3%</w:t>
      </w:r>
      <w:r w:rsidR="005A5BFC">
        <w:rPr>
          <w:sz w:val="32"/>
          <w:szCs w:val="32"/>
        </w:rPr>
        <w:t>,</w:t>
      </w:r>
      <w:r w:rsidR="00E632C3" w:rsidRPr="005A5BFC">
        <w:rPr>
          <w:sz w:val="32"/>
          <w:szCs w:val="32"/>
        </w:rPr>
        <w:t xml:space="preserve"> 80%,60%, 26.7%, and 0% at severe salt levels</w:t>
      </w:r>
      <w:r w:rsidR="00E632C3" w:rsidRPr="005A5BFC">
        <w:rPr>
          <w:sz w:val="32"/>
          <w:szCs w:val="32"/>
        </w:rPr>
        <w:t xml:space="preserve">. </w:t>
      </w:r>
      <w:r w:rsidR="00D72361" w:rsidRPr="005A5BFC">
        <w:rPr>
          <w:sz w:val="32"/>
          <w:szCs w:val="32"/>
        </w:rPr>
        <w:t>BGN-14 followed a comparable trend, with germination declining from 93.3% to 80%,</w:t>
      </w:r>
      <w:r w:rsidR="00E632C3" w:rsidRPr="005A5BFC">
        <w:rPr>
          <w:sz w:val="32"/>
          <w:szCs w:val="32"/>
        </w:rPr>
        <w:t>60%, 26.7%, and 0% at severe salt levels (Supplementary Figure S1).</w:t>
      </w:r>
      <w:r w:rsidR="00E632C3" w:rsidRPr="005A5BFC">
        <w:rPr>
          <w:sz w:val="32"/>
          <w:szCs w:val="32"/>
        </w:rPr>
        <w:t xml:space="preserve">  </w:t>
      </w:r>
      <w:r w:rsidR="00E632C3" w:rsidRPr="005A5BFC">
        <w:rPr>
          <w:sz w:val="32"/>
          <w:szCs w:val="32"/>
        </w:rPr>
        <w:t>Overall, germination percentage showed an inverse relationship with increasing salinity, resulting in declines of −71.4%</w:t>
      </w:r>
      <w:r w:rsidR="00E632C3" w:rsidRPr="005A5BFC">
        <w:rPr>
          <w:sz w:val="32"/>
          <w:szCs w:val="32"/>
        </w:rPr>
        <w:t xml:space="preserve"> and </w:t>
      </w:r>
      <w:r w:rsidR="00E632C3" w:rsidRPr="005A5BFC">
        <w:rPr>
          <w:sz w:val="32"/>
          <w:szCs w:val="32"/>
        </w:rPr>
        <w:t>−76.9%, compared to their control at 200 mM NaCl for BGN-</w:t>
      </w:r>
      <w:r w:rsidR="00E632C3" w:rsidRPr="005A5BFC">
        <w:rPr>
          <w:sz w:val="32"/>
          <w:szCs w:val="32"/>
        </w:rPr>
        <w:t>14</w:t>
      </w:r>
      <w:r w:rsidR="00E632C3" w:rsidRPr="005A5BFC">
        <w:rPr>
          <w:sz w:val="32"/>
          <w:szCs w:val="32"/>
        </w:rPr>
        <w:t xml:space="preserve"> and BGN-</w:t>
      </w:r>
      <w:r w:rsidR="00E632C3" w:rsidRPr="005A5BFC">
        <w:rPr>
          <w:sz w:val="32"/>
          <w:szCs w:val="32"/>
        </w:rPr>
        <w:t>25</w:t>
      </w:r>
      <w:r w:rsidR="00E632C3" w:rsidRPr="005A5BFC">
        <w:rPr>
          <w:sz w:val="32"/>
          <w:szCs w:val="32"/>
        </w:rPr>
        <w:t xml:space="preserve">, respectively. Based on these findings, a concentration of 200 mM NaCl was selected for all subsequent experiments to investigate the physiological and biochemical responses of Bambara groundnut seedlings to salt stress. This concentration was chosen as it represented a severe but sub-lethal stress level, inducing a significant reduction in germination (approximately 70-75%) while still permitting a sufficient number of seedlings to establish for a robust analysis </w:t>
      </w:r>
      <w:r w:rsidR="005A5BFC">
        <w:rPr>
          <w:sz w:val="32"/>
          <w:szCs w:val="32"/>
        </w:rPr>
        <w:t xml:space="preserve">in understanding salinity stress. </w:t>
      </w:r>
    </w:p>
    <w:p w14:paraId="6A84ABBD" w14:textId="77777777" w:rsidR="005A5BFC" w:rsidRDefault="005A5BFC" w:rsidP="00E632C3">
      <w:pPr>
        <w:pStyle w:val="BodyText"/>
        <w:spacing w:before="62"/>
        <w:ind w:left="709" w:right="829"/>
        <w:jc w:val="both"/>
        <w:rPr>
          <w:sz w:val="32"/>
          <w:szCs w:val="32"/>
        </w:rPr>
      </w:pPr>
    </w:p>
    <w:p w14:paraId="49188DEE" w14:textId="149F65AF" w:rsidR="001D23B0" w:rsidRDefault="003C4137">
      <w:pPr>
        <w:pStyle w:val="BodyText"/>
        <w:spacing w:before="62"/>
        <w:rPr>
          <w:rFonts w:ascii="Calibri"/>
          <w:b/>
        </w:rPr>
      </w:pPr>
      <w:r>
        <w:rPr>
          <w:rFonts w:ascii="Calibri"/>
          <w:b/>
          <w:noProof/>
        </w:rPr>
        <w:drawing>
          <wp:inline distT="0" distB="0" distL="0" distR="0" wp14:anchorId="420C9F2D" wp14:editId="498AB5DE">
            <wp:extent cx="12748260" cy="632954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4" cstate="print">
                      <a:extLst>
                        <a:ext uri="{28A0092B-C50C-407E-A947-70E740481C1C}">
                          <a14:useLocalDpi xmlns:a14="http://schemas.microsoft.com/office/drawing/2010/main" val="0"/>
                        </a:ext>
                      </a:extLst>
                    </a:blip>
                    <a:srcRect b="3850"/>
                    <a:stretch/>
                  </pic:blipFill>
                  <pic:spPr bwMode="auto">
                    <a:xfrm>
                      <a:off x="0" y="0"/>
                      <a:ext cx="12748260" cy="6329548"/>
                    </a:xfrm>
                    <a:prstGeom prst="rect">
                      <a:avLst/>
                    </a:prstGeom>
                    <a:ln>
                      <a:noFill/>
                    </a:ln>
                    <a:extLst>
                      <a:ext uri="{53640926-AAD7-44D8-BBD7-CCE9431645EC}">
                        <a14:shadowObscured xmlns:a14="http://schemas.microsoft.com/office/drawing/2010/main"/>
                      </a:ext>
                    </a:extLst>
                  </pic:spPr>
                </pic:pic>
              </a:graphicData>
            </a:graphic>
          </wp:inline>
        </w:drawing>
      </w:r>
    </w:p>
    <w:p w14:paraId="73B29FA2" w14:textId="22FF3316" w:rsidR="00D72361" w:rsidRPr="003C4137" w:rsidRDefault="00D72361" w:rsidP="002E3685">
      <w:pPr>
        <w:pStyle w:val="BodyText"/>
        <w:spacing w:before="62"/>
        <w:ind w:left="567" w:right="829"/>
        <w:jc w:val="both"/>
        <w:rPr>
          <w:sz w:val="28"/>
          <w:szCs w:val="28"/>
        </w:rPr>
      </w:pPr>
      <w:bookmarkStart w:id="0" w:name="_Hlk215169311"/>
      <w:r w:rsidRPr="003C4137">
        <w:rPr>
          <w:b/>
          <w:bCs/>
          <w:sz w:val="28"/>
          <w:szCs w:val="28"/>
        </w:rPr>
        <w:t>Supplementary Figure S</w:t>
      </w:r>
      <w:r w:rsidRPr="003C4137">
        <w:rPr>
          <w:b/>
          <w:bCs/>
          <w:sz w:val="28"/>
          <w:szCs w:val="28"/>
        </w:rPr>
        <w:t>1</w:t>
      </w:r>
      <w:bookmarkEnd w:id="0"/>
      <w:r w:rsidRPr="003C4137">
        <w:rPr>
          <w:b/>
          <w:bCs/>
          <w:sz w:val="28"/>
          <w:szCs w:val="28"/>
        </w:rPr>
        <w:t>.</w:t>
      </w:r>
      <w:r w:rsidRPr="003C4137">
        <w:rPr>
          <w:sz w:val="28"/>
          <w:szCs w:val="28"/>
        </w:rPr>
        <w:t xml:space="preserve"> Illustrates the effect of increasing NaCl concentrations (0, 50, 100, 200, 300, and 400 mM) on the germination percentage of four Bambara groundnut genotypes</w:t>
      </w:r>
      <w:r w:rsidR="005A5BFC" w:rsidRPr="003C4137">
        <w:rPr>
          <w:sz w:val="28"/>
          <w:szCs w:val="28"/>
        </w:rPr>
        <w:t>,</w:t>
      </w:r>
      <w:r w:rsidRPr="003C4137">
        <w:rPr>
          <w:sz w:val="28"/>
          <w:szCs w:val="28"/>
        </w:rPr>
        <w:t xml:space="preserve"> BGN-1</w:t>
      </w:r>
      <w:r w:rsidRPr="003C4137">
        <w:rPr>
          <w:sz w:val="28"/>
          <w:szCs w:val="28"/>
        </w:rPr>
        <w:t>4 (A) and</w:t>
      </w:r>
      <w:r w:rsidRPr="003C4137">
        <w:rPr>
          <w:sz w:val="28"/>
          <w:szCs w:val="28"/>
        </w:rPr>
        <w:t xml:space="preserve"> BGN-25</w:t>
      </w:r>
      <w:r w:rsidRPr="003C4137">
        <w:rPr>
          <w:sz w:val="28"/>
          <w:szCs w:val="28"/>
        </w:rPr>
        <w:t xml:space="preserve"> (B). </w:t>
      </w:r>
      <w:r w:rsidRPr="003C4137">
        <w:rPr>
          <w:sz w:val="28"/>
          <w:szCs w:val="28"/>
        </w:rPr>
        <w:t>The trend shows a progressive decline in germination as salinity levels rise, with the highest salt concentrations (300 mM and 400 mM) completely inhibiting germination across all genotypes. The values are means ± standard errors (SE) (n=3).</w:t>
      </w:r>
    </w:p>
    <w:p w14:paraId="45EA3664" w14:textId="77777777" w:rsidR="002E3685" w:rsidRDefault="002E3685" w:rsidP="005A5BFC">
      <w:pPr>
        <w:pStyle w:val="BodyText"/>
        <w:spacing w:before="62"/>
        <w:jc w:val="both"/>
        <w:rPr>
          <w:sz w:val="32"/>
          <w:szCs w:val="32"/>
        </w:rPr>
      </w:pPr>
    </w:p>
    <w:p w14:paraId="5938C952" w14:textId="4CCBAC43" w:rsidR="0006294D" w:rsidRPr="0006294D" w:rsidRDefault="0006294D" w:rsidP="005A5BFC">
      <w:pPr>
        <w:pStyle w:val="BodyText"/>
        <w:spacing w:before="62"/>
        <w:jc w:val="both"/>
        <w:rPr>
          <w:b/>
          <w:bCs/>
          <w:sz w:val="32"/>
          <w:szCs w:val="32"/>
        </w:rPr>
      </w:pPr>
      <w:r w:rsidRPr="0006294D">
        <w:rPr>
          <w:b/>
          <w:bCs/>
          <w:sz w:val="32"/>
          <w:szCs w:val="32"/>
        </w:rPr>
        <w:t>Effects of Nitrate Priming on Germination under salt stress</w:t>
      </w:r>
    </w:p>
    <w:p w14:paraId="5C842EC2" w14:textId="540F467D" w:rsidR="0006294D" w:rsidRDefault="0006294D" w:rsidP="005A5BFC">
      <w:pPr>
        <w:pStyle w:val="BodyText"/>
        <w:spacing w:before="62"/>
        <w:jc w:val="both"/>
        <w:rPr>
          <w:sz w:val="32"/>
          <w:szCs w:val="32"/>
        </w:rPr>
      </w:pPr>
    </w:p>
    <w:p w14:paraId="44ABA5B4" w14:textId="39353702" w:rsidR="0006294D" w:rsidRDefault="0006294D" w:rsidP="003C4137">
      <w:pPr>
        <w:pStyle w:val="BodyText"/>
        <w:spacing w:before="62" w:line="360" w:lineRule="auto"/>
        <w:ind w:left="567" w:right="829"/>
        <w:jc w:val="both"/>
        <w:rPr>
          <w:sz w:val="32"/>
          <w:szCs w:val="32"/>
        </w:rPr>
      </w:pPr>
      <w:r>
        <w:rPr>
          <w:sz w:val="32"/>
          <w:szCs w:val="32"/>
        </w:rPr>
        <w:t>T</w:t>
      </w:r>
      <w:r w:rsidRPr="0006294D">
        <w:rPr>
          <w:sz w:val="32"/>
          <w:szCs w:val="32"/>
        </w:rPr>
        <w:t xml:space="preserve">o determine a suitable nitrate priming treatment for the two Bambara genotypes, seeds were germinated at 200 mM NaCl, a concentration subsequently chosen based on the results from Supplementary Figure S1 as suitable for studying salinity stress. The effectiveness of priming at this salinity level varied with genotype, priming agent, and concentration, influencing the extent to which seeds could overcome the inhibitory effects of salinity. For BGN-25, KNO₃ priming resulted in germination percentages of 46.7, 53.3, 46.7, 40.0, and 33.3%, while </w:t>
      </w:r>
      <w:proofErr w:type="gramStart"/>
      <w:r w:rsidRPr="0006294D">
        <w:rPr>
          <w:sz w:val="32"/>
          <w:szCs w:val="32"/>
        </w:rPr>
        <w:t>Mg(</w:t>
      </w:r>
      <w:proofErr w:type="gramEnd"/>
      <w:r w:rsidRPr="0006294D">
        <w:rPr>
          <w:sz w:val="32"/>
          <w:szCs w:val="32"/>
        </w:rPr>
        <w:t xml:space="preserve">NO₃)₂ produced 46.7, 66.7, 80.0, 73.3, and 33.3%, respectively. For BGN-14, KNO₃ priming yielded 93.3, 80.0, 86.7, 93.3, and 93.3%, while </w:t>
      </w:r>
      <w:proofErr w:type="gramStart"/>
      <w:r w:rsidRPr="0006294D">
        <w:rPr>
          <w:sz w:val="32"/>
          <w:szCs w:val="32"/>
        </w:rPr>
        <w:t>Mg(</w:t>
      </w:r>
      <w:proofErr w:type="gramEnd"/>
      <w:r w:rsidRPr="0006294D">
        <w:rPr>
          <w:sz w:val="32"/>
          <w:szCs w:val="32"/>
        </w:rPr>
        <w:t>NO₃)₂ resulted in 93.3, 93.3, 100.0, 66.7, and 80.0%, respectively.</w:t>
      </w:r>
      <w:r w:rsidR="00925AC9">
        <w:rPr>
          <w:sz w:val="32"/>
          <w:szCs w:val="32"/>
        </w:rPr>
        <w:t xml:space="preserve"> </w:t>
      </w:r>
      <w:r w:rsidR="00925AC9" w:rsidRPr="00925AC9">
        <w:rPr>
          <w:sz w:val="32"/>
          <w:szCs w:val="32"/>
        </w:rPr>
        <w:t xml:space="preserve">Overall, the effectiveness of priming differed among genotypes and concentrations, with KNO₃ and Mg(NO₃)₂ generally enhancing germination more effectively than </w:t>
      </w:r>
      <w:proofErr w:type="spellStart"/>
      <w:r w:rsidR="00925AC9" w:rsidRPr="00925AC9">
        <w:rPr>
          <w:sz w:val="32"/>
          <w:szCs w:val="32"/>
        </w:rPr>
        <w:t>NaNO</w:t>
      </w:r>
      <w:proofErr w:type="spellEnd"/>
      <w:r w:rsidR="00925AC9" w:rsidRPr="00925AC9">
        <w:rPr>
          <w:sz w:val="32"/>
          <w:szCs w:val="32"/>
        </w:rPr>
        <w:t xml:space="preserve">₃ and NH₄NO₃. Lower priming concentrations (0.03% and 0.2%) tended to promote higher germination, whereas excessive concentrations often reduced performance. For the subsequent main trial, the 0.03% </w:t>
      </w:r>
      <w:proofErr w:type="gramStart"/>
      <w:r w:rsidR="00925AC9" w:rsidRPr="00925AC9">
        <w:rPr>
          <w:sz w:val="32"/>
          <w:szCs w:val="32"/>
        </w:rPr>
        <w:t>Mg(</w:t>
      </w:r>
      <w:proofErr w:type="gramEnd"/>
      <w:r w:rsidR="00925AC9" w:rsidRPr="00925AC9">
        <w:rPr>
          <w:sz w:val="32"/>
          <w:szCs w:val="32"/>
        </w:rPr>
        <w:t xml:space="preserve">NO₃)₂ treatment was selected. This decision was based on its consistent performance in mitigating NaCl-induced germination inhibition for the Bambara genotypes. Specifically, it provided a substantial improvement for BGN-25 compared to its unprimed control and higher priming concentrations, while for BGN-14, it maintained a high germination percentage equivalent to the control, indicating no adverse effects. This concentration </w:t>
      </w:r>
      <w:r w:rsidR="00925AC9" w:rsidRPr="00925AC9">
        <w:rPr>
          <w:sz w:val="32"/>
          <w:szCs w:val="32"/>
        </w:rPr>
        <w:lastRenderedPageBreak/>
        <w:t>demonstrated an effective balance, providing a clear beneficial priming effect without the toxicity or osmotic stress often associated with higher salt concentrations.</w:t>
      </w:r>
    </w:p>
    <w:p w14:paraId="7EABC5A4" w14:textId="1BDC4843" w:rsidR="00925AC9" w:rsidRDefault="00925AC9" w:rsidP="00925AC9">
      <w:pPr>
        <w:pStyle w:val="BodyText"/>
        <w:spacing w:before="62" w:line="276" w:lineRule="auto"/>
        <w:ind w:left="567" w:right="829"/>
        <w:jc w:val="both"/>
        <w:rPr>
          <w:sz w:val="32"/>
          <w:szCs w:val="32"/>
        </w:rPr>
      </w:pPr>
    </w:p>
    <w:p w14:paraId="04779453" w14:textId="00923872" w:rsidR="00925AC9" w:rsidRPr="0006294D" w:rsidRDefault="00442F1F" w:rsidP="0006294D">
      <w:pPr>
        <w:pStyle w:val="BodyText"/>
        <w:spacing w:before="62" w:line="276" w:lineRule="auto"/>
        <w:jc w:val="both"/>
        <w:rPr>
          <w:sz w:val="32"/>
          <w:szCs w:val="32"/>
        </w:rPr>
      </w:pPr>
      <w:r>
        <w:rPr>
          <w:noProof/>
          <w:sz w:val="32"/>
          <w:szCs w:val="32"/>
        </w:rPr>
        <w:drawing>
          <wp:inline distT="0" distB="0" distL="0" distR="0" wp14:anchorId="048C2E61" wp14:editId="05E972B7">
            <wp:extent cx="12748260" cy="41732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748260" cy="4173220"/>
                    </a:xfrm>
                    <a:prstGeom prst="rect">
                      <a:avLst/>
                    </a:prstGeom>
                  </pic:spPr>
                </pic:pic>
              </a:graphicData>
            </a:graphic>
          </wp:inline>
        </w:drawing>
      </w:r>
    </w:p>
    <w:p w14:paraId="264F5713" w14:textId="33241469" w:rsidR="00925AC9" w:rsidRPr="003C4137" w:rsidRDefault="00925AC9" w:rsidP="002E3685">
      <w:pPr>
        <w:pStyle w:val="BodyText"/>
        <w:spacing w:line="249" w:lineRule="auto"/>
        <w:ind w:left="567" w:right="829"/>
        <w:jc w:val="both"/>
        <w:rPr>
          <w:sz w:val="28"/>
          <w:szCs w:val="28"/>
        </w:rPr>
      </w:pPr>
      <w:r w:rsidRPr="003C4137">
        <w:rPr>
          <w:b/>
          <w:bCs/>
          <w:sz w:val="28"/>
          <w:szCs w:val="28"/>
        </w:rPr>
        <w:t>Supplementary Figure S2.</w:t>
      </w:r>
      <w:r w:rsidRPr="003C4137">
        <w:rPr>
          <w:sz w:val="28"/>
          <w:szCs w:val="28"/>
        </w:rPr>
        <w:t xml:space="preserve"> Illustrates the effects of genotype BGN-14 (A) and BGN-25 (B), nitrate source (KNO₃, </w:t>
      </w:r>
      <w:proofErr w:type="gramStart"/>
      <w:r w:rsidRPr="003C4137">
        <w:rPr>
          <w:sz w:val="28"/>
          <w:szCs w:val="28"/>
        </w:rPr>
        <w:t>Mg(</w:t>
      </w:r>
      <w:proofErr w:type="gramEnd"/>
      <w:r w:rsidRPr="003C4137">
        <w:rPr>
          <w:sz w:val="28"/>
          <w:szCs w:val="28"/>
        </w:rPr>
        <w:t xml:space="preserve">NO₃)₂, </w:t>
      </w:r>
      <w:proofErr w:type="spellStart"/>
      <w:r w:rsidRPr="003C4137">
        <w:rPr>
          <w:sz w:val="28"/>
          <w:szCs w:val="28"/>
        </w:rPr>
        <w:t>NaNO</w:t>
      </w:r>
      <w:proofErr w:type="spellEnd"/>
      <w:r w:rsidRPr="003C4137">
        <w:rPr>
          <w:sz w:val="28"/>
          <w:szCs w:val="28"/>
        </w:rPr>
        <w:t xml:space="preserve">₃, and NH₄NO₃), and priming concentration (0, 0.03, 0.2, 0.5, and 1%) on germination percentage. The results show that KNO₃ and </w:t>
      </w:r>
      <w:proofErr w:type="gramStart"/>
      <w:r w:rsidRPr="003C4137">
        <w:rPr>
          <w:sz w:val="28"/>
          <w:szCs w:val="28"/>
        </w:rPr>
        <w:t>Mg(</w:t>
      </w:r>
      <w:proofErr w:type="gramEnd"/>
      <w:r w:rsidRPr="003C4137">
        <w:rPr>
          <w:sz w:val="28"/>
          <w:szCs w:val="28"/>
        </w:rPr>
        <w:t xml:space="preserve">NO₃)₂ significantly enhanced germination, particularly at lower concentrations, while </w:t>
      </w:r>
      <w:proofErr w:type="spellStart"/>
      <w:r w:rsidRPr="003C4137">
        <w:rPr>
          <w:sz w:val="28"/>
          <w:szCs w:val="28"/>
        </w:rPr>
        <w:t>NaNO</w:t>
      </w:r>
      <w:proofErr w:type="spellEnd"/>
      <w:r w:rsidRPr="003C4137">
        <w:rPr>
          <w:sz w:val="28"/>
          <w:szCs w:val="28"/>
        </w:rPr>
        <w:t xml:space="preserve">₃ and NH₄NO₃ were less effective. Among the genotypes, BGN-14 and BGN-52 </w:t>
      </w:r>
      <w:r w:rsidR="00445933" w:rsidRPr="003C4137">
        <w:rPr>
          <w:sz w:val="28"/>
          <w:szCs w:val="28"/>
        </w:rPr>
        <w:t>showed greater tolerance and responded more positively to nitrate priming</w:t>
      </w:r>
      <w:r w:rsidRPr="003C4137">
        <w:rPr>
          <w:sz w:val="28"/>
          <w:szCs w:val="28"/>
        </w:rPr>
        <w:t>. The data are means ± SE (n=3), whereby different letters indicate significant differences among treatments as determined by Tukey’s HSD (</w:t>
      </w:r>
      <w:r w:rsidRPr="003C4137">
        <w:rPr>
          <w:i/>
          <w:iCs/>
          <w:sz w:val="28"/>
          <w:szCs w:val="28"/>
        </w:rPr>
        <w:t>p</w:t>
      </w:r>
      <w:r w:rsidRPr="003C4137">
        <w:rPr>
          <w:sz w:val="28"/>
          <w:szCs w:val="28"/>
        </w:rPr>
        <w:t>≤0.05)</w:t>
      </w:r>
      <w:r w:rsidR="00445933" w:rsidRPr="003C4137">
        <w:rPr>
          <w:sz w:val="28"/>
          <w:szCs w:val="28"/>
        </w:rPr>
        <w:t>.</w:t>
      </w:r>
    </w:p>
    <w:p w14:paraId="493B72C2" w14:textId="0D473DCA" w:rsidR="00445933" w:rsidRDefault="00445933" w:rsidP="002E3685">
      <w:pPr>
        <w:pStyle w:val="BodyText"/>
        <w:spacing w:line="249" w:lineRule="auto"/>
        <w:ind w:left="567" w:right="829"/>
        <w:jc w:val="both"/>
        <w:rPr>
          <w:sz w:val="24"/>
          <w:szCs w:val="24"/>
        </w:rPr>
      </w:pPr>
    </w:p>
    <w:p w14:paraId="011A1A98" w14:textId="77777777" w:rsidR="00442F1F" w:rsidRDefault="00442F1F" w:rsidP="002E3685">
      <w:pPr>
        <w:pStyle w:val="BodyText"/>
        <w:spacing w:line="249" w:lineRule="auto"/>
        <w:ind w:left="567" w:right="829"/>
        <w:jc w:val="both"/>
        <w:rPr>
          <w:sz w:val="24"/>
          <w:szCs w:val="24"/>
        </w:rPr>
      </w:pPr>
    </w:p>
    <w:p w14:paraId="6685F566" w14:textId="3DBA69E0" w:rsidR="00925AC9" w:rsidRDefault="00D92423" w:rsidP="00B76046">
      <w:pPr>
        <w:pStyle w:val="BodyText"/>
        <w:spacing w:before="62" w:line="276" w:lineRule="auto"/>
        <w:ind w:right="829"/>
        <w:jc w:val="both"/>
        <w:rPr>
          <w:b/>
          <w:bCs/>
          <w:sz w:val="32"/>
          <w:szCs w:val="32"/>
        </w:rPr>
      </w:pPr>
      <w:r w:rsidRPr="00D92423">
        <w:rPr>
          <w:b/>
          <w:bCs/>
          <w:sz w:val="32"/>
          <w:szCs w:val="32"/>
        </w:rPr>
        <w:t>Leaf SOD activity in response</w:t>
      </w:r>
      <w:r>
        <w:rPr>
          <w:b/>
          <w:bCs/>
          <w:sz w:val="32"/>
          <w:szCs w:val="32"/>
        </w:rPr>
        <w:t xml:space="preserve"> </w:t>
      </w:r>
      <w:r w:rsidRPr="00D92423">
        <w:rPr>
          <w:b/>
          <w:bCs/>
          <w:sz w:val="32"/>
          <w:szCs w:val="32"/>
        </w:rPr>
        <w:t>to Bambara groundnut genotypes (BGN-14 and BGN-25) under salinity and priming treatments</w:t>
      </w:r>
    </w:p>
    <w:p w14:paraId="337C7C22" w14:textId="0A2FC48F" w:rsidR="00B76046" w:rsidRDefault="00B76046" w:rsidP="00B76046">
      <w:pPr>
        <w:pStyle w:val="BodyText"/>
        <w:spacing w:before="62" w:line="276" w:lineRule="auto"/>
        <w:ind w:right="829"/>
        <w:jc w:val="both"/>
        <w:rPr>
          <w:b/>
          <w:bCs/>
          <w:sz w:val="32"/>
          <w:szCs w:val="32"/>
        </w:rPr>
      </w:pPr>
      <w:r>
        <w:rPr>
          <w:b/>
          <w:bCs/>
          <w:noProof/>
          <w:sz w:val="32"/>
          <w:szCs w:val="32"/>
        </w:rPr>
        <w:drawing>
          <wp:anchor distT="0" distB="0" distL="114300" distR="114300" simplePos="0" relativeHeight="251727872" behindDoc="0" locked="0" layoutInCell="1" allowOverlap="1" wp14:anchorId="73F91AC5" wp14:editId="53E52689">
            <wp:simplePos x="0" y="0"/>
            <wp:positionH relativeFrom="column">
              <wp:posOffset>1999643</wp:posOffset>
            </wp:positionH>
            <wp:positionV relativeFrom="paragraph">
              <wp:posOffset>352812</wp:posOffset>
            </wp:positionV>
            <wp:extent cx="5919470" cy="4462780"/>
            <wp:effectExtent l="0" t="0" r="508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9470" cy="4462780"/>
                    </a:xfrm>
                    <a:prstGeom prst="rect">
                      <a:avLst/>
                    </a:prstGeom>
                    <a:noFill/>
                  </pic:spPr>
                </pic:pic>
              </a:graphicData>
            </a:graphic>
          </wp:anchor>
        </w:drawing>
      </w:r>
    </w:p>
    <w:p w14:paraId="04D01DE2" w14:textId="18091A2C" w:rsidR="00445933" w:rsidRPr="003C4137" w:rsidRDefault="00445933" w:rsidP="00445933">
      <w:pPr>
        <w:spacing w:after="150"/>
        <w:ind w:left="567" w:right="829"/>
        <w:jc w:val="both"/>
        <w:rPr>
          <w:sz w:val="28"/>
          <w:szCs w:val="28"/>
        </w:rPr>
      </w:pPr>
      <w:bookmarkStart w:id="1" w:name="_Hlk215180703"/>
      <w:r w:rsidRPr="003C4137">
        <w:rPr>
          <w:b/>
          <w:bCs/>
          <w:sz w:val="28"/>
          <w:szCs w:val="28"/>
        </w:rPr>
        <w:t>Supplementary Figure S</w:t>
      </w:r>
      <w:proofErr w:type="gramStart"/>
      <w:r w:rsidRPr="003C4137">
        <w:rPr>
          <w:b/>
          <w:bCs/>
          <w:sz w:val="28"/>
          <w:szCs w:val="28"/>
        </w:rPr>
        <w:t>3.</w:t>
      </w:r>
      <w:r w:rsidRPr="003C4137">
        <w:rPr>
          <w:sz w:val="28"/>
          <w:szCs w:val="28"/>
        </w:rPr>
        <w:t>|</w:t>
      </w:r>
      <w:proofErr w:type="gramEnd"/>
      <w:r w:rsidRPr="003C4137">
        <w:rPr>
          <w:sz w:val="28"/>
          <w:szCs w:val="28"/>
        </w:rPr>
        <w:t xml:space="preserve"> </w:t>
      </w:r>
      <w:bookmarkEnd w:id="1"/>
      <w:r w:rsidRPr="003C4137">
        <w:rPr>
          <w:sz w:val="28"/>
          <w:szCs w:val="28"/>
        </w:rPr>
        <w:t>The image above shows SOD isoforms. Cu/Zn SOD 2 levels were measured, and levels were undetectable under “salt” treatment (BGN-14). Cu/Zn SOD 3 was shown to be only expressed in “control” of BGN-14</w:t>
      </w:r>
      <w:r w:rsidRPr="003C4137">
        <w:rPr>
          <w:sz w:val="28"/>
          <w:szCs w:val="28"/>
        </w:rPr>
        <w:t>,</w:t>
      </w:r>
      <w:r w:rsidRPr="003C4137">
        <w:rPr>
          <w:sz w:val="28"/>
          <w:szCs w:val="28"/>
        </w:rPr>
        <w:t xml:space="preserve"> while </w:t>
      </w:r>
      <w:r w:rsidRPr="003C4137">
        <w:rPr>
          <w:sz w:val="28"/>
          <w:szCs w:val="28"/>
        </w:rPr>
        <w:t xml:space="preserve">in </w:t>
      </w:r>
      <w:r w:rsidRPr="003C4137">
        <w:rPr>
          <w:sz w:val="28"/>
          <w:szCs w:val="28"/>
        </w:rPr>
        <w:t xml:space="preserve">other </w:t>
      </w:r>
      <w:r w:rsidRPr="003C4137">
        <w:rPr>
          <w:sz w:val="28"/>
          <w:szCs w:val="28"/>
        </w:rPr>
        <w:t>treatments</w:t>
      </w:r>
      <w:r w:rsidRPr="003C4137">
        <w:rPr>
          <w:sz w:val="28"/>
          <w:szCs w:val="28"/>
        </w:rPr>
        <w:t xml:space="preserve"> the levels were insignificant</w:t>
      </w:r>
      <w:r w:rsidRPr="003C4137">
        <w:rPr>
          <w:sz w:val="28"/>
          <w:szCs w:val="28"/>
        </w:rPr>
        <w:t>,</w:t>
      </w:r>
      <w:r w:rsidRPr="003C4137">
        <w:rPr>
          <w:sz w:val="28"/>
          <w:szCs w:val="28"/>
        </w:rPr>
        <w:t xml:space="preserve"> also see block A (Blue </w:t>
      </w:r>
      <w:proofErr w:type="spellStart"/>
      <w:r w:rsidRPr="003C4137">
        <w:rPr>
          <w:sz w:val="28"/>
          <w:szCs w:val="28"/>
        </w:rPr>
        <w:t>colour</w:t>
      </w:r>
      <w:proofErr w:type="spellEnd"/>
      <w:r w:rsidRPr="003C4137">
        <w:rPr>
          <w:sz w:val="28"/>
          <w:szCs w:val="28"/>
        </w:rPr>
        <w:t xml:space="preserve">). Interesting results were observed in Block A (Red </w:t>
      </w:r>
      <w:proofErr w:type="spellStart"/>
      <w:r w:rsidRPr="003C4137">
        <w:rPr>
          <w:sz w:val="28"/>
          <w:szCs w:val="28"/>
        </w:rPr>
        <w:t>colour</w:t>
      </w:r>
      <w:proofErr w:type="spellEnd"/>
      <w:r w:rsidRPr="003C4137">
        <w:rPr>
          <w:sz w:val="28"/>
          <w:szCs w:val="28"/>
        </w:rPr>
        <w:t>)</w:t>
      </w:r>
      <w:r w:rsidRPr="003C4137">
        <w:rPr>
          <w:sz w:val="28"/>
          <w:szCs w:val="28"/>
        </w:rPr>
        <w:t>,</w:t>
      </w:r>
      <w:r w:rsidRPr="003C4137">
        <w:rPr>
          <w:sz w:val="28"/>
          <w:szCs w:val="28"/>
        </w:rPr>
        <w:t xml:space="preserve"> showing that “prime + salt” treatment increased the activity of Fe SOD1 and Cu/Zn SOD 4-6 in BGN-14. This could suggest that priming BNG-14 </w:t>
      </w:r>
      <w:r w:rsidRPr="003C4137">
        <w:rPr>
          <w:sz w:val="28"/>
          <w:szCs w:val="28"/>
        </w:rPr>
        <w:t>helps</w:t>
      </w:r>
      <w:r w:rsidRPr="003C4137">
        <w:rPr>
          <w:sz w:val="28"/>
          <w:szCs w:val="28"/>
        </w:rPr>
        <w:t xml:space="preserve"> alleviate the effect of salt stress by increasing the activity of SOD</w:t>
      </w:r>
      <w:r w:rsidRPr="003C4137">
        <w:rPr>
          <w:sz w:val="28"/>
          <w:szCs w:val="28"/>
        </w:rPr>
        <w:t>,</w:t>
      </w:r>
      <w:r w:rsidRPr="003C4137">
        <w:rPr>
          <w:sz w:val="28"/>
          <w:szCs w:val="28"/>
        </w:rPr>
        <w:t xml:space="preserve"> which </w:t>
      </w:r>
      <w:r w:rsidRPr="003C4137">
        <w:rPr>
          <w:sz w:val="28"/>
          <w:szCs w:val="28"/>
        </w:rPr>
        <w:t>is</w:t>
      </w:r>
      <w:r w:rsidRPr="003C4137">
        <w:rPr>
          <w:sz w:val="28"/>
          <w:szCs w:val="28"/>
        </w:rPr>
        <w:t xml:space="preserve"> responsible for scavenging O</w:t>
      </w:r>
      <w:r w:rsidRPr="003C4137">
        <w:rPr>
          <w:sz w:val="28"/>
          <w:szCs w:val="28"/>
          <w:vertAlign w:val="subscript"/>
        </w:rPr>
        <w:t>2</w:t>
      </w:r>
      <w:r w:rsidRPr="003C4137">
        <w:rPr>
          <w:sz w:val="28"/>
          <w:szCs w:val="28"/>
          <w:vertAlign w:val="superscript"/>
        </w:rPr>
        <w:t>-</w:t>
      </w:r>
      <w:r w:rsidR="00BF2BA5" w:rsidRPr="003C4137">
        <w:rPr>
          <w:sz w:val="28"/>
          <w:szCs w:val="28"/>
        </w:rPr>
        <w:t xml:space="preserve"> </w:t>
      </w:r>
      <w:r w:rsidRPr="003C4137">
        <w:rPr>
          <w:sz w:val="28"/>
          <w:szCs w:val="28"/>
        </w:rPr>
        <w:t>and ROS species responsible for damaging lipid membrane and resulting in cell death when not monitored.  While for BNG-25 this effect was clearly noted only in Fe SOD</w:t>
      </w:r>
      <w:r w:rsidR="00BF2BA5" w:rsidRPr="003C4137">
        <w:rPr>
          <w:sz w:val="28"/>
          <w:szCs w:val="28"/>
        </w:rPr>
        <w:t xml:space="preserve"> </w:t>
      </w:r>
      <w:r w:rsidRPr="003C4137">
        <w:rPr>
          <w:sz w:val="28"/>
          <w:szCs w:val="28"/>
        </w:rPr>
        <w:t>see</w:t>
      </w:r>
      <w:r w:rsidR="00BF2BA5" w:rsidRPr="003C4137">
        <w:rPr>
          <w:sz w:val="28"/>
          <w:szCs w:val="28"/>
        </w:rPr>
        <w:t xml:space="preserve"> </w:t>
      </w:r>
      <w:r w:rsidRPr="003C4137">
        <w:rPr>
          <w:sz w:val="28"/>
          <w:szCs w:val="28"/>
        </w:rPr>
        <w:t>red</w:t>
      </w:r>
      <w:r w:rsidR="00BF2BA5" w:rsidRPr="003C4137">
        <w:rPr>
          <w:sz w:val="28"/>
          <w:szCs w:val="28"/>
        </w:rPr>
        <w:t xml:space="preserve"> </w:t>
      </w:r>
      <w:r w:rsidRPr="003C4137">
        <w:rPr>
          <w:sz w:val="28"/>
          <w:szCs w:val="28"/>
        </w:rPr>
        <w:t>b</w:t>
      </w:r>
      <w:r w:rsidRPr="003C4137">
        <w:rPr>
          <w:sz w:val="28"/>
          <w:szCs w:val="28"/>
        </w:rPr>
        <w:t>l</w:t>
      </w:r>
      <w:r w:rsidRPr="003C4137">
        <w:rPr>
          <w:sz w:val="28"/>
          <w:szCs w:val="28"/>
        </w:rPr>
        <w:t>ock</w:t>
      </w:r>
      <w:r w:rsidR="00BF2BA5" w:rsidRPr="003C4137">
        <w:rPr>
          <w:sz w:val="28"/>
          <w:szCs w:val="28"/>
        </w:rPr>
        <w:t xml:space="preserve"> </w:t>
      </w:r>
      <w:r w:rsidRPr="003C4137">
        <w:rPr>
          <w:sz w:val="28"/>
          <w:szCs w:val="28"/>
        </w:rPr>
        <w:t>B.</w:t>
      </w:r>
    </w:p>
    <w:p w14:paraId="02042741" w14:textId="746286E2" w:rsidR="00445933" w:rsidRDefault="00445933" w:rsidP="0006294D">
      <w:pPr>
        <w:pStyle w:val="BodyText"/>
        <w:spacing w:before="62" w:line="276" w:lineRule="auto"/>
        <w:jc w:val="both"/>
        <w:rPr>
          <w:sz w:val="32"/>
          <w:szCs w:val="32"/>
        </w:rPr>
      </w:pPr>
    </w:p>
    <w:p w14:paraId="7DE41D70" w14:textId="0D5F2497" w:rsidR="00925AC9" w:rsidRDefault="002E3685" w:rsidP="003C4137">
      <w:pPr>
        <w:pStyle w:val="BodyText"/>
        <w:spacing w:before="62" w:line="360" w:lineRule="auto"/>
        <w:ind w:left="567" w:right="829"/>
        <w:jc w:val="both"/>
        <w:rPr>
          <w:sz w:val="32"/>
          <w:szCs w:val="32"/>
        </w:rPr>
      </w:pPr>
      <w:r w:rsidRPr="002E3685">
        <w:rPr>
          <w:sz w:val="32"/>
          <w:szCs w:val="32"/>
        </w:rPr>
        <w:t xml:space="preserve">In this study, native polyacrylamide gels were employed to visualize the isozyme profiles of </w:t>
      </w:r>
      <w:r w:rsidR="003C522E" w:rsidRPr="003C522E">
        <w:rPr>
          <w:sz w:val="32"/>
          <w:szCs w:val="32"/>
        </w:rPr>
        <w:t>Superoxide dismutase (SOD)</w:t>
      </w:r>
      <w:r w:rsidR="003C522E">
        <w:rPr>
          <w:sz w:val="32"/>
          <w:szCs w:val="32"/>
        </w:rPr>
        <w:t>,</w:t>
      </w:r>
      <w:r w:rsidR="003C522E" w:rsidRPr="003C522E">
        <w:rPr>
          <w:sz w:val="32"/>
          <w:szCs w:val="32"/>
        </w:rPr>
        <w:t xml:space="preserve"> the first line of defense against ROS</w:t>
      </w:r>
      <w:r w:rsidR="003C522E">
        <w:rPr>
          <w:sz w:val="32"/>
          <w:szCs w:val="32"/>
        </w:rPr>
        <w:t>,</w:t>
      </w:r>
      <w:r w:rsidR="003C522E" w:rsidRPr="003C522E">
        <w:rPr>
          <w:sz w:val="32"/>
          <w:szCs w:val="32"/>
        </w:rPr>
        <w:t xml:space="preserve"> </w:t>
      </w:r>
      <w:r w:rsidR="003C522E">
        <w:rPr>
          <w:sz w:val="32"/>
          <w:szCs w:val="32"/>
        </w:rPr>
        <w:t>which</w:t>
      </w:r>
      <w:r w:rsidR="003C522E" w:rsidRPr="003C522E">
        <w:rPr>
          <w:sz w:val="32"/>
          <w:szCs w:val="32"/>
        </w:rPr>
        <w:t xml:space="preserve"> catalyzes the dismutation of </w:t>
      </w:r>
      <w:r w:rsidR="00445933">
        <w:rPr>
          <w:sz w:val="32"/>
          <w:szCs w:val="32"/>
        </w:rPr>
        <w:t>superoxide (</w:t>
      </w:r>
      <w:r w:rsidR="003C522E" w:rsidRPr="003C522E">
        <w:rPr>
          <w:sz w:val="32"/>
          <w:szCs w:val="32"/>
        </w:rPr>
        <w:t>O</w:t>
      </w:r>
      <w:r w:rsidR="003C522E" w:rsidRPr="003C522E">
        <w:rPr>
          <w:sz w:val="32"/>
          <w:szCs w:val="32"/>
          <w:vertAlign w:val="subscript"/>
        </w:rPr>
        <w:t>2</w:t>
      </w:r>
      <w:r w:rsidR="003C522E" w:rsidRPr="003C522E">
        <w:rPr>
          <w:sz w:val="32"/>
          <w:szCs w:val="32"/>
          <w:vertAlign w:val="superscript"/>
        </w:rPr>
        <w:t>-</w:t>
      </w:r>
      <w:r w:rsidR="00445933">
        <w:rPr>
          <w:sz w:val="32"/>
          <w:szCs w:val="32"/>
        </w:rPr>
        <w:t>)</w:t>
      </w:r>
      <w:r w:rsidR="003C522E" w:rsidRPr="003C522E">
        <w:rPr>
          <w:sz w:val="32"/>
          <w:szCs w:val="32"/>
        </w:rPr>
        <w:t xml:space="preserve">. </w:t>
      </w:r>
      <w:r w:rsidR="003C522E">
        <w:rPr>
          <w:sz w:val="32"/>
          <w:szCs w:val="32"/>
        </w:rPr>
        <w:t>The</w:t>
      </w:r>
      <w:r w:rsidRPr="002E3685">
        <w:rPr>
          <w:sz w:val="32"/>
          <w:szCs w:val="32"/>
        </w:rPr>
        <w:t xml:space="preserve"> densitometric analysis was performed to quantify band size and intensity (</w:t>
      </w:r>
      <w:r w:rsidR="00445933" w:rsidRPr="00BF2BA5">
        <w:rPr>
          <w:b/>
          <w:bCs/>
          <w:sz w:val="32"/>
          <w:szCs w:val="32"/>
        </w:rPr>
        <w:t>Supplementary Figure S3</w:t>
      </w:r>
      <w:r w:rsidR="00445933" w:rsidRPr="00445933">
        <w:rPr>
          <w:sz w:val="32"/>
          <w:szCs w:val="32"/>
        </w:rPr>
        <w:t xml:space="preserve"> </w:t>
      </w:r>
      <w:r w:rsidRPr="002E3685">
        <w:rPr>
          <w:sz w:val="32"/>
          <w:szCs w:val="32"/>
        </w:rPr>
        <w:t xml:space="preserve">and </w:t>
      </w:r>
      <w:r w:rsidR="00445933" w:rsidRPr="00BF2BA5">
        <w:rPr>
          <w:b/>
          <w:bCs/>
          <w:sz w:val="32"/>
          <w:szCs w:val="32"/>
        </w:rPr>
        <w:t>Supplementary Figure S</w:t>
      </w:r>
      <w:r w:rsidR="00445933" w:rsidRPr="00BF2BA5">
        <w:rPr>
          <w:b/>
          <w:bCs/>
          <w:sz w:val="32"/>
          <w:szCs w:val="32"/>
        </w:rPr>
        <w:t>4</w:t>
      </w:r>
      <w:r w:rsidRPr="002E3685">
        <w:rPr>
          <w:sz w:val="32"/>
          <w:szCs w:val="32"/>
        </w:rPr>
        <w:t xml:space="preserve">), </w:t>
      </w:r>
      <w:r w:rsidR="003C522E">
        <w:rPr>
          <w:sz w:val="32"/>
          <w:szCs w:val="32"/>
        </w:rPr>
        <w:t>indicating</w:t>
      </w:r>
      <w:r w:rsidRPr="002E3685">
        <w:rPr>
          <w:sz w:val="32"/>
          <w:szCs w:val="32"/>
        </w:rPr>
        <w:t xml:space="preserve"> their relative activity under the different treatments</w:t>
      </w:r>
      <w:r w:rsidR="003C522E">
        <w:rPr>
          <w:sz w:val="32"/>
          <w:szCs w:val="32"/>
        </w:rPr>
        <w:t>. Both</w:t>
      </w:r>
      <w:r w:rsidR="003C522E" w:rsidRPr="003C522E">
        <w:rPr>
          <w:sz w:val="32"/>
          <w:szCs w:val="32"/>
        </w:rPr>
        <w:t xml:space="preserve"> Bambara groundnut genotypes expressed multiple superoxide dismutase (SOD) isoforms</w:t>
      </w:r>
      <w:r w:rsidR="00445933">
        <w:rPr>
          <w:sz w:val="32"/>
          <w:szCs w:val="32"/>
        </w:rPr>
        <w:t>:</w:t>
      </w:r>
      <w:r w:rsidR="003C522E" w:rsidRPr="003C522E">
        <w:rPr>
          <w:sz w:val="32"/>
          <w:szCs w:val="32"/>
        </w:rPr>
        <w:t xml:space="preserve"> six Cu/Zn-SODs, one Mn-SOD, and one Fe-SOD</w:t>
      </w:r>
      <w:r w:rsidR="003C522E">
        <w:rPr>
          <w:sz w:val="32"/>
          <w:szCs w:val="32"/>
        </w:rPr>
        <w:t>,</w:t>
      </w:r>
      <w:r w:rsidR="003C522E" w:rsidRPr="003C522E">
        <w:rPr>
          <w:sz w:val="32"/>
          <w:szCs w:val="32"/>
        </w:rPr>
        <w:t xml:space="preserve"> showing treatment</w:t>
      </w:r>
      <w:r w:rsidR="003C522E">
        <w:rPr>
          <w:sz w:val="32"/>
          <w:szCs w:val="32"/>
        </w:rPr>
        <w:t xml:space="preserve"> </w:t>
      </w:r>
      <w:r w:rsidR="003C522E" w:rsidRPr="003C522E">
        <w:rPr>
          <w:sz w:val="32"/>
          <w:szCs w:val="32"/>
        </w:rPr>
        <w:t xml:space="preserve">and genotype-dependent variation in activity. </w:t>
      </w:r>
      <w:r w:rsidR="003C4137">
        <w:rPr>
          <w:sz w:val="32"/>
          <w:szCs w:val="32"/>
        </w:rPr>
        <w:t xml:space="preserve"> </w:t>
      </w:r>
      <w:r w:rsidR="003C522E" w:rsidRPr="003C522E">
        <w:rPr>
          <w:sz w:val="32"/>
          <w:szCs w:val="32"/>
        </w:rPr>
        <w:t>In BGN-14, the “primed + salt” treatment produced the highest and statistically significant (</w:t>
      </w:r>
      <w:r w:rsidR="003C522E" w:rsidRPr="003C522E">
        <w:rPr>
          <w:i/>
          <w:iCs/>
          <w:sz w:val="32"/>
          <w:szCs w:val="32"/>
        </w:rPr>
        <w:t>p</w:t>
      </w:r>
      <w:r w:rsidR="003C522E" w:rsidRPr="003C522E">
        <w:rPr>
          <w:sz w:val="32"/>
          <w:szCs w:val="32"/>
        </w:rPr>
        <w:t xml:space="preserve"> &lt; 0.05) Cu/Zn-SOD1 activity (+75.8%), followed by “salt” (+53.7%) and “primed” (+41.5%) compared with the control (Figure 5.4). In BGN-25, the corresponding increases were smaller and non-significant (</w:t>
      </w:r>
      <w:r w:rsidR="003C522E" w:rsidRPr="003C522E">
        <w:rPr>
          <w:i/>
          <w:iCs/>
          <w:sz w:val="32"/>
          <w:szCs w:val="32"/>
        </w:rPr>
        <w:t>p</w:t>
      </w:r>
      <w:r w:rsidR="003C522E" w:rsidRPr="003C522E">
        <w:rPr>
          <w:sz w:val="32"/>
          <w:szCs w:val="32"/>
        </w:rPr>
        <w:t xml:space="preserve"> &gt; 0.05): “salt” (+15.7%), “primed + salt” (+2.0%), and “primed” (−5.4%). Cu/Zn-SOD2 activity in BGN-14 was also highest under “primed + salt” (+27.1%), followed by “primed” (+13.7%), whereas “salt” treatment showed no detectable activity. A similar pattern occurred in BGN-25, where “primed + salt”, “primed”, and “salt” resulted in +20.8%, +24.7%, and +2.8% changes, respectively (</w:t>
      </w:r>
      <w:r w:rsidR="008B7356" w:rsidRPr="008B7356">
        <w:rPr>
          <w:sz w:val="32"/>
          <w:szCs w:val="32"/>
        </w:rPr>
        <w:t>Supplementary Figure S</w:t>
      </w:r>
      <w:r w:rsidR="008B7356">
        <w:rPr>
          <w:sz w:val="32"/>
          <w:szCs w:val="32"/>
        </w:rPr>
        <w:t>4</w:t>
      </w:r>
      <w:r w:rsidR="003C522E" w:rsidRPr="003C522E">
        <w:rPr>
          <w:sz w:val="32"/>
          <w:szCs w:val="32"/>
        </w:rPr>
        <w:t>).</w:t>
      </w:r>
      <w:r w:rsidR="008B7356">
        <w:rPr>
          <w:sz w:val="32"/>
          <w:szCs w:val="32"/>
        </w:rPr>
        <w:t xml:space="preserve"> </w:t>
      </w:r>
      <w:r w:rsidR="003C522E" w:rsidRPr="003C522E">
        <w:rPr>
          <w:sz w:val="32"/>
          <w:szCs w:val="32"/>
        </w:rPr>
        <w:t>For Cu/Zn-SOD4, a genotype-specific trend emerged: in BGN-14, “primed + salt” again showed the highest activity (+40.8%), while in BGN-25, “salt” induced the strongest response (+49.7%), followed by “primed” (+26.2%) and “primed + salt” (+18.4%), with these differences significant (</w:t>
      </w:r>
      <w:r w:rsidR="003C522E" w:rsidRPr="003C522E">
        <w:rPr>
          <w:i/>
          <w:iCs/>
          <w:sz w:val="32"/>
          <w:szCs w:val="32"/>
        </w:rPr>
        <w:t>p</w:t>
      </w:r>
      <w:r w:rsidR="003C522E" w:rsidRPr="003C522E">
        <w:rPr>
          <w:sz w:val="32"/>
          <w:szCs w:val="32"/>
        </w:rPr>
        <w:t xml:space="preserve"> &lt; 0.05). Cu/Zn-SOD6 activity in BGN-14 increased under “primed + salt” (+48.6%) and “primed” (+18.7%) but declined under “salt” (−8.2%). In contrast, BGN-25 showed reduced activity across all treatments relative to the “control” (“primed + salt”, −18.2%; “primed”, −11.1%; “salt”, −31.7%). Fe-SOD activity was highest in </w:t>
      </w:r>
      <w:r w:rsidR="003C522E">
        <w:rPr>
          <w:sz w:val="32"/>
          <w:szCs w:val="32"/>
        </w:rPr>
        <w:t xml:space="preserve">the </w:t>
      </w:r>
      <w:r w:rsidR="003C522E" w:rsidRPr="003C522E">
        <w:rPr>
          <w:sz w:val="32"/>
          <w:szCs w:val="32"/>
        </w:rPr>
        <w:t>control, with no detectable bands under “salt” stress in either genotype. In contrast, Mn-SOD activity rose markedly under “salt” and “primed + salt” treatments, increasing by +20.6% and +17.0% in BGN-14 and by +24.2% and +10.3% in BGN-25, respectively.</w:t>
      </w:r>
      <w:r w:rsidRPr="002E3685">
        <w:rPr>
          <w:sz w:val="32"/>
          <w:szCs w:val="32"/>
        </w:rPr>
        <w:t xml:space="preserve">  </w:t>
      </w:r>
    </w:p>
    <w:p w14:paraId="7EC7B7AF" w14:textId="4EDEAF75" w:rsidR="008F6106" w:rsidRDefault="008F6106" w:rsidP="003C4137">
      <w:pPr>
        <w:pStyle w:val="BodyText"/>
        <w:jc w:val="both"/>
        <w:rPr>
          <w:sz w:val="32"/>
          <w:szCs w:val="32"/>
        </w:rPr>
      </w:pPr>
    </w:p>
    <w:p w14:paraId="0A12D973" w14:textId="644E1AC2" w:rsidR="008F6106" w:rsidRPr="003C4137" w:rsidRDefault="00442F1F" w:rsidP="003C4137">
      <w:pPr>
        <w:pStyle w:val="Heading2"/>
        <w:spacing w:before="0"/>
        <w:ind w:left="0"/>
        <w:rPr>
          <w:b w:val="0"/>
          <w:bCs w:val="0"/>
          <w:sz w:val="28"/>
          <w:szCs w:val="28"/>
        </w:rPr>
      </w:pPr>
      <w:r w:rsidRPr="003C4137">
        <w:rPr>
          <w:noProof/>
          <w:sz w:val="52"/>
          <w:szCs w:val="52"/>
        </w:rPr>
        <w:drawing>
          <wp:anchor distT="0" distB="0" distL="114300" distR="114300" simplePos="0" relativeHeight="251735040" behindDoc="0" locked="0" layoutInCell="1" allowOverlap="1" wp14:anchorId="523A5737" wp14:editId="7B7EA741">
            <wp:simplePos x="0" y="0"/>
            <wp:positionH relativeFrom="column">
              <wp:posOffset>1294130</wp:posOffset>
            </wp:positionH>
            <wp:positionV relativeFrom="paragraph">
              <wp:posOffset>-115570</wp:posOffset>
            </wp:positionV>
            <wp:extent cx="10437495" cy="11863070"/>
            <wp:effectExtent l="0" t="0" r="1905"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7" cstate="print">
                      <a:extLst>
                        <a:ext uri="{28A0092B-C50C-407E-A947-70E740481C1C}">
                          <a14:useLocalDpi xmlns:a14="http://schemas.microsoft.com/office/drawing/2010/main" val="0"/>
                        </a:ext>
                      </a:extLst>
                    </a:blip>
                    <a:srcRect b="1166"/>
                    <a:stretch/>
                  </pic:blipFill>
                  <pic:spPr bwMode="auto">
                    <a:xfrm>
                      <a:off x="0" y="0"/>
                      <a:ext cx="10437495" cy="118630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B7356" w:rsidRPr="003C4137">
        <w:rPr>
          <w:sz w:val="28"/>
          <w:szCs w:val="28"/>
        </w:rPr>
        <w:t>Supplementary Figure S</w:t>
      </w:r>
      <w:proofErr w:type="gramStart"/>
      <w:r w:rsidR="008B7356" w:rsidRPr="003C4137">
        <w:rPr>
          <w:sz w:val="28"/>
          <w:szCs w:val="28"/>
        </w:rPr>
        <w:t>4</w:t>
      </w:r>
      <w:r w:rsidR="008B7356" w:rsidRPr="003C4137">
        <w:rPr>
          <w:sz w:val="28"/>
          <w:szCs w:val="28"/>
        </w:rPr>
        <w:t>.|</w:t>
      </w:r>
      <w:proofErr w:type="gramEnd"/>
      <w:r w:rsidR="008F6106" w:rsidRPr="003C4137">
        <w:rPr>
          <w:b w:val="0"/>
          <w:bCs w:val="0"/>
          <w:sz w:val="28"/>
          <w:szCs w:val="28"/>
        </w:rPr>
        <w:t xml:space="preserve"> </w:t>
      </w:r>
      <w:r w:rsidR="008F6106" w:rsidRPr="003C4137">
        <w:rPr>
          <w:b w:val="0"/>
          <w:bCs w:val="0"/>
          <w:sz w:val="28"/>
          <w:szCs w:val="28"/>
        </w:rPr>
        <w:t xml:space="preserve">Leaf </w:t>
      </w:r>
      <w:r w:rsidR="008F6106" w:rsidRPr="003C4137">
        <w:rPr>
          <w:b w:val="0"/>
          <w:bCs w:val="0"/>
          <w:sz w:val="28"/>
          <w:szCs w:val="28"/>
        </w:rPr>
        <w:t xml:space="preserve">individual </w:t>
      </w:r>
      <w:r w:rsidR="008F6106" w:rsidRPr="003C4137">
        <w:rPr>
          <w:b w:val="0"/>
          <w:bCs w:val="0"/>
          <w:sz w:val="28"/>
          <w:szCs w:val="28"/>
        </w:rPr>
        <w:t xml:space="preserve">SOD isoform activities in response to </w:t>
      </w:r>
      <w:r w:rsidR="00E31761" w:rsidRPr="003C4137">
        <w:rPr>
          <w:b w:val="0"/>
          <w:bCs w:val="0"/>
          <w:sz w:val="28"/>
          <w:szCs w:val="28"/>
        </w:rPr>
        <w:t>Bambara groundnut genotypes (BGN-14 and BGN-25) under salinity and priming treatments. represent the integrated pixel density values of the superoxide dismutase isoforms as observed on 12% native acrylamide gel (Supplementary Figure S</w:t>
      </w:r>
      <w:r w:rsidR="00E31761" w:rsidRPr="003C4137">
        <w:rPr>
          <w:b w:val="0"/>
          <w:bCs w:val="0"/>
          <w:sz w:val="28"/>
          <w:szCs w:val="28"/>
        </w:rPr>
        <w:t>3</w:t>
      </w:r>
      <w:r w:rsidR="00E31761" w:rsidRPr="003C4137">
        <w:rPr>
          <w:b w:val="0"/>
          <w:bCs w:val="0"/>
          <w:sz w:val="28"/>
          <w:szCs w:val="28"/>
        </w:rPr>
        <w:t>). The relative pixel intensity values are determined using the Alpha Ease FC software</w:t>
      </w:r>
      <w:r w:rsidR="00D92423" w:rsidRPr="003C4137">
        <w:rPr>
          <w:b w:val="0"/>
          <w:bCs w:val="0"/>
          <w:sz w:val="28"/>
          <w:szCs w:val="28"/>
        </w:rPr>
        <w:t>,</w:t>
      </w:r>
      <w:r w:rsidR="00E31761" w:rsidRPr="003C4137">
        <w:rPr>
          <w:b w:val="0"/>
          <w:bCs w:val="0"/>
          <w:sz w:val="28"/>
          <w:szCs w:val="28"/>
        </w:rPr>
        <w:t xml:space="preserve"> and the SOD activities are expressed as </w:t>
      </w:r>
      <w:r w:rsidR="00D92423" w:rsidRPr="003C4137">
        <w:rPr>
          <w:b w:val="0"/>
          <w:bCs w:val="0"/>
          <w:sz w:val="28"/>
          <w:szCs w:val="28"/>
        </w:rPr>
        <w:t>integrated</w:t>
      </w:r>
      <w:r w:rsidR="00E31761" w:rsidRPr="003C4137">
        <w:rPr>
          <w:b w:val="0"/>
          <w:bCs w:val="0"/>
          <w:sz w:val="28"/>
          <w:szCs w:val="28"/>
        </w:rPr>
        <w:t xml:space="preserve"> density value (</w:t>
      </w:r>
      <w:proofErr w:type="spellStart"/>
      <w:r w:rsidR="00E31761" w:rsidRPr="003C4137">
        <w:rPr>
          <w:b w:val="0"/>
          <w:bCs w:val="0"/>
          <w:sz w:val="28"/>
          <w:szCs w:val="28"/>
        </w:rPr>
        <w:t>a.u</w:t>
      </w:r>
      <w:proofErr w:type="spellEnd"/>
      <w:r w:rsidR="00E31761" w:rsidRPr="003C4137">
        <w:rPr>
          <w:b w:val="0"/>
          <w:bCs w:val="0"/>
          <w:sz w:val="28"/>
          <w:szCs w:val="28"/>
        </w:rPr>
        <w:t xml:space="preserve">.). </w:t>
      </w:r>
      <w:r w:rsidR="00E31761" w:rsidRPr="003C4137">
        <w:rPr>
          <w:b w:val="0"/>
          <w:bCs w:val="0"/>
          <w:sz w:val="28"/>
          <w:szCs w:val="28"/>
        </w:rPr>
        <w:t>The data are means ± SE (n=3), whereby different letters indicate significant differences among treatments as determined by Tukey’s HSD (</w:t>
      </w:r>
      <w:r w:rsidR="00E31761" w:rsidRPr="003C4137">
        <w:rPr>
          <w:b w:val="0"/>
          <w:bCs w:val="0"/>
          <w:i/>
          <w:iCs/>
          <w:sz w:val="28"/>
          <w:szCs w:val="28"/>
        </w:rPr>
        <w:t>p</w:t>
      </w:r>
      <w:r w:rsidR="00E31761" w:rsidRPr="003C4137">
        <w:rPr>
          <w:b w:val="0"/>
          <w:bCs w:val="0"/>
          <w:sz w:val="28"/>
          <w:szCs w:val="28"/>
        </w:rPr>
        <w:t>≤0.05)</w:t>
      </w:r>
      <w:r w:rsidR="00D92423" w:rsidRPr="003C4137">
        <w:rPr>
          <w:b w:val="0"/>
          <w:bCs w:val="0"/>
          <w:sz w:val="28"/>
          <w:szCs w:val="28"/>
        </w:rPr>
        <w:t xml:space="preserve">. </w:t>
      </w:r>
      <w:r w:rsidR="00E31761" w:rsidRPr="003C4137">
        <w:rPr>
          <w:b w:val="0"/>
          <w:bCs w:val="0"/>
          <w:sz w:val="28"/>
          <w:szCs w:val="28"/>
        </w:rPr>
        <w:t>T</w:t>
      </w:r>
      <w:r w:rsidR="00E31761" w:rsidRPr="003C4137">
        <w:rPr>
          <w:b w:val="0"/>
          <w:bCs w:val="0"/>
          <w:sz w:val="28"/>
          <w:szCs w:val="28"/>
        </w:rPr>
        <w:t xml:space="preserve">he same letters </w:t>
      </w:r>
      <w:r w:rsidR="00D92423" w:rsidRPr="003C4137">
        <w:rPr>
          <w:b w:val="0"/>
          <w:bCs w:val="0"/>
          <w:sz w:val="28"/>
          <w:szCs w:val="28"/>
        </w:rPr>
        <w:t>indicate</w:t>
      </w:r>
      <w:r w:rsidR="00E31761" w:rsidRPr="003C4137">
        <w:rPr>
          <w:b w:val="0"/>
          <w:bCs w:val="0"/>
          <w:sz w:val="28"/>
          <w:szCs w:val="28"/>
        </w:rPr>
        <w:t xml:space="preserve"> that there was no significant difference between means</w:t>
      </w:r>
      <w:r w:rsidR="00D92423" w:rsidRPr="003C4137">
        <w:rPr>
          <w:b w:val="0"/>
          <w:bCs w:val="0"/>
          <w:sz w:val="28"/>
          <w:szCs w:val="28"/>
        </w:rPr>
        <w:t>,</w:t>
      </w:r>
      <w:r w:rsidR="00E31761" w:rsidRPr="003C4137">
        <w:rPr>
          <w:b w:val="0"/>
          <w:bCs w:val="0"/>
          <w:sz w:val="28"/>
          <w:szCs w:val="28"/>
        </w:rPr>
        <w:t xml:space="preserve"> and N/d </w:t>
      </w:r>
      <w:r w:rsidR="00D92423" w:rsidRPr="003C4137">
        <w:rPr>
          <w:b w:val="0"/>
          <w:bCs w:val="0"/>
          <w:sz w:val="28"/>
          <w:szCs w:val="28"/>
        </w:rPr>
        <w:t>indicates</w:t>
      </w:r>
      <w:r w:rsidR="00E31761" w:rsidRPr="003C4137">
        <w:rPr>
          <w:b w:val="0"/>
          <w:bCs w:val="0"/>
          <w:sz w:val="28"/>
          <w:szCs w:val="28"/>
        </w:rPr>
        <w:t xml:space="preserve"> that no isoforms were detected. </w:t>
      </w:r>
    </w:p>
    <w:p w14:paraId="542F90D6" w14:textId="3FD43CA1" w:rsidR="00D92423" w:rsidRDefault="00D92423" w:rsidP="00E31761">
      <w:pPr>
        <w:pStyle w:val="BodyText"/>
        <w:spacing w:line="249" w:lineRule="auto"/>
        <w:ind w:left="567" w:right="829"/>
        <w:jc w:val="both"/>
        <w:rPr>
          <w:sz w:val="24"/>
          <w:szCs w:val="24"/>
        </w:rPr>
      </w:pPr>
    </w:p>
    <w:p w14:paraId="5717808D" w14:textId="1C1361FB" w:rsidR="003C4137" w:rsidRDefault="003C4137">
      <w:pPr>
        <w:rPr>
          <w:sz w:val="24"/>
          <w:szCs w:val="24"/>
        </w:rPr>
      </w:pPr>
      <w:r>
        <w:rPr>
          <w:sz w:val="24"/>
          <w:szCs w:val="24"/>
        </w:rPr>
        <w:br w:type="page"/>
      </w:r>
    </w:p>
    <w:p w14:paraId="2EA292AE" w14:textId="77777777" w:rsidR="00D92423" w:rsidRDefault="00D92423" w:rsidP="00E31761">
      <w:pPr>
        <w:pStyle w:val="BodyText"/>
        <w:spacing w:line="249" w:lineRule="auto"/>
        <w:ind w:left="567" w:right="829"/>
        <w:jc w:val="both"/>
        <w:rPr>
          <w:sz w:val="24"/>
          <w:szCs w:val="24"/>
        </w:rPr>
      </w:pPr>
    </w:p>
    <w:p w14:paraId="7EC0D1CC" w14:textId="77777777" w:rsidR="00D92423" w:rsidRDefault="00D92423" w:rsidP="00D92423">
      <w:pPr>
        <w:pStyle w:val="Heading2"/>
        <w:ind w:left="567" w:right="829"/>
      </w:pPr>
      <w:r>
        <w:t>Supplementary</w:t>
      </w:r>
      <w:r>
        <w:rPr>
          <w:spacing w:val="-6"/>
        </w:rPr>
        <w:t xml:space="preserve"> </w:t>
      </w:r>
      <w:r>
        <w:rPr>
          <w:spacing w:val="-2"/>
        </w:rPr>
        <w:t>method:</w:t>
      </w:r>
    </w:p>
    <w:p w14:paraId="3E4C1316" w14:textId="0785080A" w:rsidR="00D92423" w:rsidRDefault="00D92423" w:rsidP="00E31761">
      <w:pPr>
        <w:pStyle w:val="BodyText"/>
        <w:spacing w:line="249" w:lineRule="auto"/>
        <w:ind w:left="567" w:right="829"/>
        <w:jc w:val="both"/>
        <w:rPr>
          <w:sz w:val="24"/>
          <w:szCs w:val="24"/>
        </w:rPr>
      </w:pPr>
    </w:p>
    <w:p w14:paraId="15922155" w14:textId="2215681D" w:rsidR="00D92423" w:rsidRDefault="00D92423" w:rsidP="00E31761">
      <w:pPr>
        <w:pStyle w:val="BodyText"/>
        <w:spacing w:line="249" w:lineRule="auto"/>
        <w:ind w:left="567" w:right="829"/>
        <w:jc w:val="both"/>
        <w:rPr>
          <w:sz w:val="24"/>
          <w:szCs w:val="24"/>
        </w:rPr>
      </w:pPr>
    </w:p>
    <w:p w14:paraId="069CBB4F" w14:textId="62E2142C" w:rsidR="00BF2BA5" w:rsidRPr="00BF2BA5" w:rsidRDefault="00BF2BA5" w:rsidP="00BF2BA5">
      <w:pPr>
        <w:pStyle w:val="BodyText"/>
        <w:spacing w:line="249" w:lineRule="auto"/>
        <w:ind w:left="567" w:right="829"/>
        <w:jc w:val="both"/>
        <w:rPr>
          <w:i/>
          <w:sz w:val="32"/>
          <w:szCs w:val="14"/>
        </w:rPr>
      </w:pPr>
      <w:r w:rsidRPr="00BF2BA5">
        <w:rPr>
          <w:i/>
          <w:sz w:val="32"/>
          <w:szCs w:val="14"/>
        </w:rPr>
        <w:t xml:space="preserve">Seed germination test </w:t>
      </w:r>
    </w:p>
    <w:p w14:paraId="239F3CCB" w14:textId="77777777" w:rsidR="00BF2BA5" w:rsidRPr="00BF2BA5" w:rsidRDefault="00BF2BA5" w:rsidP="00BF2BA5">
      <w:pPr>
        <w:pStyle w:val="BodyText"/>
        <w:spacing w:line="249" w:lineRule="auto"/>
        <w:ind w:left="567" w:right="829"/>
        <w:jc w:val="both"/>
        <w:rPr>
          <w:sz w:val="24"/>
          <w:szCs w:val="24"/>
        </w:rPr>
      </w:pPr>
    </w:p>
    <w:p w14:paraId="2A47D6C9" w14:textId="6EB64E2D" w:rsidR="00D92423" w:rsidRPr="00BF2BA5" w:rsidRDefault="00BF2BA5" w:rsidP="00BF2BA5">
      <w:pPr>
        <w:pStyle w:val="BodyText"/>
        <w:spacing w:line="249" w:lineRule="auto"/>
        <w:ind w:left="567" w:right="829"/>
        <w:jc w:val="both"/>
        <w:rPr>
          <w:sz w:val="32"/>
          <w:szCs w:val="32"/>
        </w:rPr>
      </w:pPr>
      <w:r w:rsidRPr="00BF2BA5">
        <w:rPr>
          <w:sz w:val="32"/>
          <w:szCs w:val="32"/>
        </w:rPr>
        <w:t xml:space="preserve">The first phase of germination investigated the effect of salt stress on the germination of Bambara groundnut </w:t>
      </w:r>
      <w:r>
        <w:rPr>
          <w:sz w:val="32"/>
          <w:szCs w:val="32"/>
        </w:rPr>
        <w:t>genotype</w:t>
      </w:r>
      <w:r w:rsidRPr="00BF2BA5">
        <w:rPr>
          <w:sz w:val="32"/>
          <w:szCs w:val="32"/>
        </w:rPr>
        <w:t xml:space="preserve"> (BGN-14</w:t>
      </w:r>
      <w:r>
        <w:rPr>
          <w:sz w:val="32"/>
          <w:szCs w:val="32"/>
        </w:rPr>
        <w:t xml:space="preserve"> and</w:t>
      </w:r>
      <w:r w:rsidRPr="00BF2BA5">
        <w:rPr>
          <w:sz w:val="32"/>
          <w:szCs w:val="32"/>
        </w:rPr>
        <w:t xml:space="preserve"> BGN-25). Mature seeds</w:t>
      </w:r>
      <w:r>
        <w:rPr>
          <w:sz w:val="32"/>
          <w:szCs w:val="32"/>
        </w:rPr>
        <w:t xml:space="preserve"> </w:t>
      </w:r>
      <w:r w:rsidRPr="00BF2BA5">
        <w:rPr>
          <w:sz w:val="32"/>
          <w:szCs w:val="32"/>
        </w:rPr>
        <w:t xml:space="preserve">were surface-sterilized following Zeng et al. (2012) using 70% ethanol (5 min) and 0.35 % sodium hypochlorite (20 min), then rinsed with distilled water. The sterilized seeds were placed in 15 cm Petri dishes lined with paper towels and moistened with sodium chloride (NaCl) solutions of 0, 50, 100, 200, 300, and 400 </w:t>
      </w:r>
      <w:proofErr w:type="spellStart"/>
      <w:r w:rsidRPr="00BF2BA5">
        <w:rPr>
          <w:sz w:val="32"/>
          <w:szCs w:val="32"/>
        </w:rPr>
        <w:t>mM.</w:t>
      </w:r>
      <w:proofErr w:type="spellEnd"/>
      <w:r w:rsidRPr="00BF2BA5">
        <w:rPr>
          <w:sz w:val="32"/>
          <w:szCs w:val="32"/>
        </w:rPr>
        <w:t xml:space="preserve"> Each dish contained five seeds, arranged in a randomized complete block design (RCBD) with three replicates. Seeds were incubated in a growth chamber (Model I-35 VL; Percival Scientific, Perry, IA) at 30/25 °C (day/night), under a 12 h photoperiod with fluorescent light (36 µmol s⁻¹ m⁻²). Germination was monitored daily for 10 days, and seeds were considered germinated once the radicle reached 3 mm (radicle emergence of ≥ 3 mm). NaCl was chosen as the salinizing agent because it is the predominant salt in naturally saline soils and effectively represents the combined osmotic and ionic stress encountered by plants under field salinity (</w:t>
      </w:r>
      <w:proofErr w:type="spellStart"/>
      <w:r w:rsidRPr="001A65B5">
        <w:rPr>
          <w:b/>
          <w:bCs/>
          <w:sz w:val="32"/>
          <w:szCs w:val="32"/>
        </w:rPr>
        <w:t>Parida</w:t>
      </w:r>
      <w:proofErr w:type="spellEnd"/>
      <w:r w:rsidRPr="001A65B5">
        <w:rPr>
          <w:b/>
          <w:bCs/>
          <w:sz w:val="32"/>
          <w:szCs w:val="32"/>
        </w:rPr>
        <w:t xml:space="preserve"> and Das, 2005</w:t>
      </w:r>
      <w:r w:rsidRPr="00BF2BA5">
        <w:rPr>
          <w:sz w:val="32"/>
          <w:szCs w:val="32"/>
        </w:rPr>
        <w:t>). Different NaCl concentrations were applied to determine the salinity threshold at which germination becomes significantly inhibited, and to identify an appropriate stress level for subsequent plant growth experiments.</w:t>
      </w:r>
    </w:p>
    <w:p w14:paraId="3D2A882F" w14:textId="23B74F2A" w:rsidR="00D92423" w:rsidRDefault="00D92423" w:rsidP="00E31761">
      <w:pPr>
        <w:pStyle w:val="BodyText"/>
        <w:spacing w:line="249" w:lineRule="auto"/>
        <w:ind w:left="567" w:right="829"/>
        <w:jc w:val="both"/>
        <w:rPr>
          <w:sz w:val="24"/>
          <w:szCs w:val="24"/>
        </w:rPr>
      </w:pPr>
    </w:p>
    <w:p w14:paraId="4A64BACD" w14:textId="742EEC80" w:rsidR="00D92423" w:rsidRPr="0028191C" w:rsidRDefault="0028191C" w:rsidP="00E31761">
      <w:pPr>
        <w:pStyle w:val="BodyText"/>
        <w:spacing w:line="249" w:lineRule="auto"/>
        <w:ind w:left="567" w:right="829"/>
        <w:jc w:val="both"/>
        <w:rPr>
          <w:sz w:val="32"/>
          <w:szCs w:val="32"/>
        </w:rPr>
      </w:pPr>
      <w:r w:rsidRPr="0028191C">
        <w:rPr>
          <w:sz w:val="32"/>
          <w:szCs w:val="32"/>
        </w:rPr>
        <w:t>In the second phase of germination, seeds were primed with different nitrate sources potassium nitrate (KNO₃), ammonium nitrate (NH</w:t>
      </w:r>
      <w:r w:rsidRPr="0028191C">
        <w:rPr>
          <w:sz w:val="32"/>
          <w:szCs w:val="32"/>
          <w:vertAlign w:val="subscript"/>
        </w:rPr>
        <w:t>4</w:t>
      </w:r>
      <w:r w:rsidRPr="0028191C">
        <w:rPr>
          <w:sz w:val="32"/>
          <w:szCs w:val="32"/>
        </w:rPr>
        <w:t>NO</w:t>
      </w:r>
      <w:r w:rsidRPr="0028191C">
        <w:rPr>
          <w:sz w:val="32"/>
          <w:szCs w:val="32"/>
          <w:vertAlign w:val="subscript"/>
        </w:rPr>
        <w:t>3</w:t>
      </w:r>
      <w:r w:rsidRPr="0028191C">
        <w:rPr>
          <w:sz w:val="32"/>
          <w:szCs w:val="32"/>
        </w:rPr>
        <w:t>), sodium nitrate (</w:t>
      </w:r>
      <w:proofErr w:type="spellStart"/>
      <w:r w:rsidRPr="0028191C">
        <w:rPr>
          <w:sz w:val="32"/>
          <w:szCs w:val="32"/>
        </w:rPr>
        <w:t>NaNO</w:t>
      </w:r>
      <w:proofErr w:type="spellEnd"/>
      <w:r w:rsidRPr="0028191C">
        <w:rPr>
          <w:sz w:val="32"/>
          <w:szCs w:val="32"/>
        </w:rPr>
        <w:t>₃), and magnesium nitrate [</w:t>
      </w:r>
      <w:proofErr w:type="gramStart"/>
      <w:r w:rsidRPr="0028191C">
        <w:rPr>
          <w:sz w:val="32"/>
          <w:szCs w:val="32"/>
        </w:rPr>
        <w:t>Mg(</w:t>
      </w:r>
      <w:proofErr w:type="gramEnd"/>
      <w:r w:rsidRPr="0028191C">
        <w:rPr>
          <w:sz w:val="32"/>
          <w:szCs w:val="32"/>
        </w:rPr>
        <w:t>NO₃)₂] at concentrations of 0, 0.01, 0.2, 0.5, and 1%. Seeds were immersed in each priming solution for all four genotypes at a standard temperature of 24 °C for a soaking period of 24 hours (</w:t>
      </w:r>
      <w:proofErr w:type="spellStart"/>
      <w:r w:rsidRPr="001A65B5">
        <w:rPr>
          <w:b/>
          <w:bCs/>
          <w:sz w:val="32"/>
          <w:szCs w:val="32"/>
        </w:rPr>
        <w:t>Ogbuethi</w:t>
      </w:r>
      <w:proofErr w:type="spellEnd"/>
      <w:r w:rsidRPr="001A65B5">
        <w:rPr>
          <w:b/>
          <w:bCs/>
          <w:sz w:val="32"/>
          <w:szCs w:val="32"/>
        </w:rPr>
        <w:t xml:space="preserve"> et al., 2013</w:t>
      </w:r>
      <w:r w:rsidRPr="0028191C">
        <w:rPr>
          <w:sz w:val="32"/>
          <w:szCs w:val="32"/>
        </w:rPr>
        <w:t xml:space="preserve">). Subsequently, the seeds underwent a 5-minute air-drying period before being placed in petri dishes at room temperature. Their germination progress was evaluated under the selected salinity threshold </w:t>
      </w:r>
      <w:r>
        <w:rPr>
          <w:sz w:val="32"/>
          <w:szCs w:val="32"/>
        </w:rPr>
        <w:t xml:space="preserve">(200 mM) </w:t>
      </w:r>
      <w:r w:rsidRPr="0028191C">
        <w:rPr>
          <w:sz w:val="32"/>
          <w:szCs w:val="32"/>
        </w:rPr>
        <w:t xml:space="preserve">determined in the previous germination screening, to determine the most effective priming concentration and nitrate source using the Germination percentage, germination index, and mean germination time formulas as described by </w:t>
      </w:r>
      <w:r w:rsidRPr="001A65B5">
        <w:rPr>
          <w:b/>
          <w:bCs/>
          <w:sz w:val="32"/>
          <w:szCs w:val="32"/>
        </w:rPr>
        <w:t>Maguire</w:t>
      </w:r>
      <w:r w:rsidRPr="0028191C">
        <w:rPr>
          <w:sz w:val="32"/>
          <w:szCs w:val="32"/>
        </w:rPr>
        <w:t xml:space="preserve"> (</w:t>
      </w:r>
      <w:r w:rsidRPr="001A65B5">
        <w:rPr>
          <w:b/>
          <w:bCs/>
          <w:sz w:val="32"/>
          <w:szCs w:val="32"/>
        </w:rPr>
        <w:t>1962</w:t>
      </w:r>
      <w:r w:rsidRPr="0028191C">
        <w:rPr>
          <w:sz w:val="32"/>
          <w:szCs w:val="32"/>
        </w:rPr>
        <w:t>).</w:t>
      </w:r>
      <w:r>
        <w:rPr>
          <w:sz w:val="32"/>
          <w:szCs w:val="32"/>
        </w:rPr>
        <w:t xml:space="preserve"> </w:t>
      </w:r>
      <w:r w:rsidRPr="0028191C">
        <w:rPr>
          <w:sz w:val="32"/>
          <w:szCs w:val="32"/>
        </w:rPr>
        <w:t>This phase also aimed to establish the optimal priming concentration for each nitrate source, while avoiding over-priming, and to evaluate their effectiveness in enhancing salt stress tolerance. The outcomes of this experiment provided the foundation for evaluating the impact of seed priming and salinity during seedling/plant growth.</w:t>
      </w:r>
    </w:p>
    <w:p w14:paraId="3791D8E8" w14:textId="75FB1A4D" w:rsidR="00D92423" w:rsidRPr="00B76046" w:rsidRDefault="00D92423" w:rsidP="00E31761">
      <w:pPr>
        <w:pStyle w:val="BodyText"/>
        <w:spacing w:line="249" w:lineRule="auto"/>
        <w:ind w:left="567" w:right="829"/>
        <w:jc w:val="both"/>
        <w:rPr>
          <w:i/>
          <w:sz w:val="32"/>
          <w:szCs w:val="14"/>
        </w:rPr>
      </w:pPr>
    </w:p>
    <w:p w14:paraId="65DAAF2E" w14:textId="26187055" w:rsidR="00D92423" w:rsidRDefault="0028191C" w:rsidP="00B76046">
      <w:pPr>
        <w:pStyle w:val="BodyText"/>
        <w:spacing w:line="249" w:lineRule="auto"/>
        <w:ind w:left="567" w:right="829"/>
        <w:jc w:val="both"/>
        <w:rPr>
          <w:i/>
          <w:sz w:val="32"/>
          <w:szCs w:val="14"/>
        </w:rPr>
      </w:pPr>
      <w:r w:rsidRPr="00B76046">
        <w:rPr>
          <w:i/>
          <w:sz w:val="32"/>
          <w:szCs w:val="14"/>
        </w:rPr>
        <w:t>Identification and characterization of</w:t>
      </w:r>
      <w:r w:rsidR="00B76046" w:rsidRPr="00B76046">
        <w:rPr>
          <w:i/>
          <w:sz w:val="32"/>
          <w:szCs w:val="14"/>
        </w:rPr>
        <w:t xml:space="preserve"> SOD isoforms</w:t>
      </w:r>
      <w:r w:rsidRPr="00B76046">
        <w:rPr>
          <w:i/>
          <w:sz w:val="32"/>
          <w:szCs w:val="14"/>
        </w:rPr>
        <w:t xml:space="preserve"> </w:t>
      </w:r>
    </w:p>
    <w:p w14:paraId="129A2BF9" w14:textId="3F95A0AF" w:rsidR="00B76046" w:rsidRPr="00B76046" w:rsidRDefault="00B76046" w:rsidP="00B76046">
      <w:pPr>
        <w:pStyle w:val="BodyText"/>
        <w:spacing w:line="249" w:lineRule="auto"/>
        <w:ind w:left="567" w:right="829"/>
        <w:jc w:val="both"/>
        <w:rPr>
          <w:sz w:val="32"/>
          <w:szCs w:val="32"/>
        </w:rPr>
      </w:pPr>
    </w:p>
    <w:p w14:paraId="42BFFE77" w14:textId="3AD57B3D" w:rsidR="003C4137" w:rsidRDefault="00B76046" w:rsidP="003C4137">
      <w:pPr>
        <w:pStyle w:val="BodyText"/>
        <w:spacing w:line="360" w:lineRule="auto"/>
        <w:ind w:left="567" w:right="829"/>
        <w:jc w:val="both"/>
        <w:rPr>
          <w:sz w:val="32"/>
          <w:szCs w:val="32"/>
        </w:rPr>
      </w:pPr>
      <w:r w:rsidRPr="00B76046">
        <w:rPr>
          <w:sz w:val="32"/>
          <w:szCs w:val="32"/>
        </w:rPr>
        <w:t>Superoxide dismutase (SOD) enzymatic activity was measured using an in-gel approaches,</w:t>
      </w:r>
      <w:r>
        <w:rPr>
          <w:sz w:val="32"/>
          <w:szCs w:val="32"/>
        </w:rPr>
        <w:t xml:space="preserve"> using a method</w:t>
      </w:r>
      <w:r w:rsidR="002D2C55">
        <w:rPr>
          <w:sz w:val="32"/>
          <w:szCs w:val="32"/>
        </w:rPr>
        <w:t xml:space="preserve"> modified</w:t>
      </w:r>
      <w:r w:rsidRPr="00B76046">
        <w:rPr>
          <w:sz w:val="32"/>
          <w:szCs w:val="32"/>
        </w:rPr>
        <w:t xml:space="preserve"> from Beauchamp and </w:t>
      </w:r>
      <w:proofErr w:type="spellStart"/>
      <w:r w:rsidRPr="00B76046">
        <w:rPr>
          <w:sz w:val="32"/>
          <w:szCs w:val="32"/>
        </w:rPr>
        <w:t>Fridovich</w:t>
      </w:r>
      <w:proofErr w:type="spellEnd"/>
      <w:r w:rsidRPr="00B76046">
        <w:rPr>
          <w:sz w:val="32"/>
          <w:szCs w:val="32"/>
        </w:rPr>
        <w:t xml:space="preserve"> (1971).</w:t>
      </w:r>
      <w:r w:rsidR="002D2C55">
        <w:rPr>
          <w:sz w:val="32"/>
          <w:szCs w:val="32"/>
        </w:rPr>
        <w:t xml:space="preserve"> </w:t>
      </w:r>
      <w:r w:rsidR="002D2C55" w:rsidRPr="002D2C55">
        <w:rPr>
          <w:sz w:val="32"/>
          <w:szCs w:val="32"/>
        </w:rPr>
        <w:t>For protein extraction, leaves were ground into fine powder using liquid nitrogen</w:t>
      </w:r>
      <w:r w:rsidR="002D2C55">
        <w:rPr>
          <w:sz w:val="32"/>
          <w:szCs w:val="32"/>
        </w:rPr>
        <w:t xml:space="preserve"> </w:t>
      </w:r>
      <w:r w:rsidR="002D2C55" w:rsidRPr="002D2C55">
        <w:rPr>
          <w:sz w:val="32"/>
          <w:szCs w:val="32"/>
        </w:rPr>
        <w:t xml:space="preserve">and then 100 mg of the tissue samples were </w:t>
      </w:r>
      <w:proofErr w:type="spellStart"/>
      <w:r w:rsidR="002D2C55" w:rsidRPr="002D2C55">
        <w:rPr>
          <w:sz w:val="32"/>
          <w:szCs w:val="32"/>
        </w:rPr>
        <w:t>homogenised</w:t>
      </w:r>
      <w:proofErr w:type="spellEnd"/>
      <w:r w:rsidR="002D2C55" w:rsidRPr="002D2C55">
        <w:rPr>
          <w:sz w:val="32"/>
          <w:szCs w:val="32"/>
        </w:rPr>
        <w:t xml:space="preserve"> with 400 </w:t>
      </w:r>
      <w:proofErr w:type="spellStart"/>
      <w:r w:rsidR="002D2C55" w:rsidRPr="002D2C55">
        <w:rPr>
          <w:sz w:val="32"/>
          <w:szCs w:val="32"/>
        </w:rPr>
        <w:t>μl</w:t>
      </w:r>
      <w:proofErr w:type="spellEnd"/>
      <w:r w:rsidR="002D2C55" w:rsidRPr="002D2C55">
        <w:rPr>
          <w:sz w:val="32"/>
          <w:szCs w:val="32"/>
        </w:rPr>
        <w:t xml:space="preserve"> of the cold</w:t>
      </w:r>
      <w:r w:rsidR="002D2C55">
        <w:rPr>
          <w:sz w:val="32"/>
          <w:szCs w:val="32"/>
        </w:rPr>
        <w:t xml:space="preserve"> </w:t>
      </w:r>
      <w:proofErr w:type="spellStart"/>
      <w:r w:rsidR="002D2C55" w:rsidRPr="002D2C55">
        <w:rPr>
          <w:sz w:val="32"/>
          <w:szCs w:val="32"/>
        </w:rPr>
        <w:t>homogenising</w:t>
      </w:r>
      <w:proofErr w:type="spellEnd"/>
      <w:r w:rsidR="002D2C55" w:rsidRPr="002D2C55">
        <w:rPr>
          <w:sz w:val="32"/>
          <w:szCs w:val="32"/>
        </w:rPr>
        <w:t xml:space="preserve"> buffer [40 mM K</w:t>
      </w:r>
      <w:r w:rsidR="002D2C55" w:rsidRPr="002D2C55">
        <w:rPr>
          <w:sz w:val="32"/>
          <w:szCs w:val="32"/>
          <w:vertAlign w:val="subscript"/>
        </w:rPr>
        <w:t>2</w:t>
      </w:r>
      <w:r w:rsidR="002D2C55" w:rsidRPr="002D2C55">
        <w:rPr>
          <w:sz w:val="32"/>
          <w:szCs w:val="32"/>
        </w:rPr>
        <w:t>HPO</w:t>
      </w:r>
      <w:r w:rsidR="002D2C55" w:rsidRPr="002D2C55">
        <w:rPr>
          <w:sz w:val="32"/>
          <w:szCs w:val="32"/>
          <w:vertAlign w:val="subscript"/>
        </w:rPr>
        <w:t>4</w:t>
      </w:r>
      <w:r w:rsidR="002D2C55" w:rsidRPr="002D2C55">
        <w:rPr>
          <w:sz w:val="32"/>
          <w:szCs w:val="32"/>
        </w:rPr>
        <w:t>, pH 7.4, 1 mM ethylene diamine tetra</w:t>
      </w:r>
      <w:r w:rsidR="002D2C55">
        <w:rPr>
          <w:sz w:val="32"/>
          <w:szCs w:val="32"/>
        </w:rPr>
        <w:t>-</w:t>
      </w:r>
      <w:r w:rsidR="002D2C55" w:rsidRPr="002D2C55">
        <w:rPr>
          <w:sz w:val="32"/>
          <w:szCs w:val="32"/>
        </w:rPr>
        <w:t>acetic acid</w:t>
      </w:r>
      <w:r w:rsidR="002D2C55">
        <w:rPr>
          <w:sz w:val="32"/>
          <w:szCs w:val="32"/>
        </w:rPr>
        <w:t xml:space="preserve"> </w:t>
      </w:r>
      <w:r w:rsidR="002D2C55" w:rsidRPr="002D2C55">
        <w:rPr>
          <w:sz w:val="32"/>
          <w:szCs w:val="32"/>
        </w:rPr>
        <w:t>(EDTA), 5% (w/v) polyvinylpyrrolidone (PVP) molecular weight = 40,000]. The</w:t>
      </w:r>
      <w:r w:rsidR="002D2C55">
        <w:rPr>
          <w:sz w:val="32"/>
          <w:szCs w:val="32"/>
        </w:rPr>
        <w:t xml:space="preserve"> </w:t>
      </w:r>
      <w:r w:rsidR="002D2C55" w:rsidRPr="002D2C55">
        <w:rPr>
          <w:sz w:val="32"/>
          <w:szCs w:val="32"/>
        </w:rPr>
        <w:t>homogenates were centrifuged at 12 000 x g for 15 minutes at 4</w:t>
      </w:r>
      <w:r w:rsidR="002D2C55">
        <w:rPr>
          <w:sz w:val="32"/>
          <w:szCs w:val="32"/>
        </w:rPr>
        <w:t>°</w:t>
      </w:r>
      <w:r w:rsidR="002D2C55" w:rsidRPr="002D2C55">
        <w:rPr>
          <w:sz w:val="32"/>
          <w:szCs w:val="32"/>
        </w:rPr>
        <w:t>C and the resulting</w:t>
      </w:r>
      <w:r w:rsidR="002D2C55">
        <w:rPr>
          <w:sz w:val="32"/>
          <w:szCs w:val="32"/>
        </w:rPr>
        <w:t xml:space="preserve"> </w:t>
      </w:r>
      <w:r w:rsidR="002D2C55" w:rsidRPr="002D2C55">
        <w:rPr>
          <w:sz w:val="32"/>
          <w:szCs w:val="32"/>
        </w:rPr>
        <w:t xml:space="preserve">supernatant was used </w:t>
      </w:r>
      <w:r w:rsidR="002D2C55">
        <w:rPr>
          <w:sz w:val="32"/>
          <w:szCs w:val="32"/>
        </w:rPr>
        <w:t xml:space="preserve">for </w:t>
      </w:r>
      <w:r w:rsidR="002D2C55" w:rsidRPr="002D2C55">
        <w:rPr>
          <w:sz w:val="32"/>
          <w:szCs w:val="32"/>
        </w:rPr>
        <w:t>protein concentrations according to Bradford (1976), using the RC DC</w:t>
      </w:r>
      <w:r w:rsidR="002D2C55">
        <w:rPr>
          <w:sz w:val="32"/>
          <w:szCs w:val="32"/>
        </w:rPr>
        <w:t xml:space="preserve"> </w:t>
      </w:r>
      <w:r w:rsidR="002D2C55" w:rsidRPr="002D2C55">
        <w:rPr>
          <w:sz w:val="32"/>
          <w:szCs w:val="32"/>
        </w:rPr>
        <w:t>Protein Assay Kit 11 (Bio-Rad Laboratories, Inc., Hercules, CA)</w:t>
      </w:r>
      <w:r w:rsidR="009815AF">
        <w:rPr>
          <w:sz w:val="32"/>
          <w:szCs w:val="32"/>
        </w:rPr>
        <w:t>.</w:t>
      </w:r>
      <w:r w:rsidR="003C4137">
        <w:rPr>
          <w:sz w:val="32"/>
          <w:szCs w:val="32"/>
        </w:rPr>
        <w:t xml:space="preserve"> </w:t>
      </w:r>
      <w:r w:rsidR="009815AF" w:rsidRPr="009815AF">
        <w:rPr>
          <w:sz w:val="32"/>
          <w:szCs w:val="32"/>
        </w:rPr>
        <w:t>The associated SOD isoform patterns were determined by incubating gels in 5 mM H</w:t>
      </w:r>
      <w:r w:rsidR="009815AF" w:rsidRPr="003C4137">
        <w:rPr>
          <w:sz w:val="32"/>
          <w:szCs w:val="32"/>
          <w:vertAlign w:val="subscript"/>
        </w:rPr>
        <w:t>2</w:t>
      </w:r>
      <w:r w:rsidR="009815AF" w:rsidRPr="009815AF">
        <w:rPr>
          <w:sz w:val="32"/>
          <w:szCs w:val="32"/>
        </w:rPr>
        <w:t>O</w:t>
      </w:r>
      <w:r w:rsidR="009815AF" w:rsidRPr="003C4137">
        <w:rPr>
          <w:sz w:val="32"/>
          <w:szCs w:val="32"/>
          <w:vertAlign w:val="subscript"/>
        </w:rPr>
        <w:t>2</w:t>
      </w:r>
      <w:r w:rsidR="009815AF" w:rsidRPr="009815AF">
        <w:rPr>
          <w:sz w:val="32"/>
          <w:szCs w:val="32"/>
        </w:rPr>
        <w:t xml:space="preserve"> (to inhibit both Cu/</w:t>
      </w:r>
      <w:proofErr w:type="spellStart"/>
      <w:r w:rsidR="009815AF" w:rsidRPr="009815AF">
        <w:rPr>
          <w:sz w:val="32"/>
          <w:szCs w:val="32"/>
        </w:rPr>
        <w:t>ZnSOD</w:t>
      </w:r>
      <w:proofErr w:type="spellEnd"/>
      <w:r w:rsidR="009815AF" w:rsidRPr="009815AF">
        <w:rPr>
          <w:sz w:val="32"/>
          <w:szCs w:val="32"/>
        </w:rPr>
        <w:t xml:space="preserve"> and </w:t>
      </w:r>
      <w:proofErr w:type="spellStart"/>
      <w:r w:rsidR="009815AF" w:rsidRPr="009815AF">
        <w:rPr>
          <w:sz w:val="32"/>
          <w:szCs w:val="32"/>
        </w:rPr>
        <w:t>FeSOD</w:t>
      </w:r>
      <w:proofErr w:type="spellEnd"/>
      <w:r w:rsidR="009815AF" w:rsidRPr="009815AF">
        <w:rPr>
          <w:sz w:val="32"/>
          <w:szCs w:val="32"/>
        </w:rPr>
        <w:t>), or 5 mM KCN (to inhibit only Cu/</w:t>
      </w:r>
      <w:proofErr w:type="spellStart"/>
      <w:r w:rsidR="009815AF" w:rsidRPr="009815AF">
        <w:rPr>
          <w:sz w:val="32"/>
          <w:szCs w:val="32"/>
        </w:rPr>
        <w:t>ZnSOD</w:t>
      </w:r>
      <w:proofErr w:type="spellEnd"/>
      <w:r w:rsidR="009815AF" w:rsidRPr="009815AF">
        <w:rPr>
          <w:sz w:val="32"/>
          <w:szCs w:val="32"/>
        </w:rPr>
        <w:t>)</w:t>
      </w:r>
      <w:r w:rsidR="003C4137">
        <w:rPr>
          <w:sz w:val="32"/>
          <w:szCs w:val="32"/>
        </w:rPr>
        <w:t>,</w:t>
      </w:r>
      <w:r w:rsidR="009815AF" w:rsidRPr="009815AF">
        <w:rPr>
          <w:sz w:val="32"/>
          <w:szCs w:val="32"/>
        </w:rPr>
        <w:t xml:space="preserve"> as </w:t>
      </w:r>
      <w:proofErr w:type="spellStart"/>
      <w:r w:rsidR="009815AF" w:rsidRPr="009815AF">
        <w:rPr>
          <w:sz w:val="32"/>
          <w:szCs w:val="32"/>
        </w:rPr>
        <w:t>MnSOD</w:t>
      </w:r>
      <w:proofErr w:type="spellEnd"/>
      <w:r w:rsidR="009815AF" w:rsidRPr="009815AF">
        <w:rPr>
          <w:sz w:val="32"/>
          <w:szCs w:val="32"/>
        </w:rPr>
        <w:t xml:space="preserve"> is resistant to both treatments</w:t>
      </w:r>
      <w:r w:rsidR="003C4137">
        <w:rPr>
          <w:sz w:val="32"/>
          <w:szCs w:val="32"/>
        </w:rPr>
        <w:t xml:space="preserve"> </w:t>
      </w:r>
      <w:r w:rsidR="003C4137" w:rsidRPr="009815AF">
        <w:rPr>
          <w:sz w:val="32"/>
          <w:szCs w:val="32"/>
        </w:rPr>
        <w:t>(</w:t>
      </w:r>
      <w:r w:rsidR="007A5EE3">
        <w:rPr>
          <w:sz w:val="32"/>
          <w:szCs w:val="32"/>
        </w:rPr>
        <w:t>B</w:t>
      </w:r>
      <w:r w:rsidR="007A5EE3" w:rsidRPr="007A5EE3">
        <w:rPr>
          <w:sz w:val="32"/>
          <w:szCs w:val="32"/>
        </w:rPr>
        <w:t xml:space="preserve">eauchamp and </w:t>
      </w:r>
      <w:proofErr w:type="spellStart"/>
      <w:r w:rsidR="007A5EE3" w:rsidRPr="007A5EE3">
        <w:rPr>
          <w:sz w:val="32"/>
          <w:szCs w:val="32"/>
        </w:rPr>
        <w:t>Fridovich</w:t>
      </w:r>
      <w:proofErr w:type="spellEnd"/>
      <w:r w:rsidR="007A5EE3" w:rsidRPr="007A5EE3">
        <w:rPr>
          <w:sz w:val="32"/>
          <w:szCs w:val="32"/>
        </w:rPr>
        <w:t xml:space="preserve"> (1971).</w:t>
      </w:r>
      <w:r w:rsidR="00EE33C0">
        <w:rPr>
          <w:sz w:val="32"/>
          <w:szCs w:val="32"/>
        </w:rPr>
        <w:t xml:space="preserve"> </w:t>
      </w:r>
      <w:r w:rsidR="00EE33C0" w:rsidRPr="00EE33C0">
        <w:rPr>
          <w:sz w:val="32"/>
          <w:szCs w:val="32"/>
        </w:rPr>
        <w:t xml:space="preserve">The gel images were captured and </w:t>
      </w:r>
      <w:proofErr w:type="spellStart"/>
      <w:r w:rsidR="00EE33C0" w:rsidRPr="00EE33C0">
        <w:rPr>
          <w:sz w:val="32"/>
          <w:szCs w:val="32"/>
        </w:rPr>
        <w:t>analysed</w:t>
      </w:r>
      <w:proofErr w:type="spellEnd"/>
      <w:r w:rsidR="00EE33C0" w:rsidRPr="00EE33C0">
        <w:rPr>
          <w:sz w:val="32"/>
          <w:szCs w:val="32"/>
        </w:rPr>
        <w:t xml:space="preserve"> for band intensities by densitometry using Alpha Ease FC software (Alpha </w:t>
      </w:r>
      <w:proofErr w:type="spellStart"/>
      <w:r w:rsidR="00EE33C0" w:rsidRPr="00EE33C0">
        <w:rPr>
          <w:sz w:val="32"/>
          <w:szCs w:val="32"/>
        </w:rPr>
        <w:t>Innotech</w:t>
      </w:r>
      <w:proofErr w:type="spellEnd"/>
      <w:r w:rsidR="00EE33C0" w:rsidRPr="00EE33C0">
        <w:rPr>
          <w:sz w:val="32"/>
          <w:szCs w:val="32"/>
        </w:rPr>
        <w:t xml:space="preserve"> Corporation). </w:t>
      </w:r>
    </w:p>
    <w:p w14:paraId="2979C77C" w14:textId="77777777" w:rsidR="003C4137" w:rsidRDefault="003C4137" w:rsidP="002D2C55">
      <w:pPr>
        <w:pStyle w:val="BodyText"/>
        <w:spacing w:line="249" w:lineRule="auto"/>
        <w:ind w:left="567" w:right="829"/>
        <w:jc w:val="both"/>
        <w:rPr>
          <w:sz w:val="32"/>
          <w:szCs w:val="32"/>
        </w:rPr>
      </w:pPr>
    </w:p>
    <w:p w14:paraId="0E540F39" w14:textId="77777777" w:rsidR="003C4137" w:rsidRDefault="003C4137" w:rsidP="002D2C55">
      <w:pPr>
        <w:pStyle w:val="BodyText"/>
        <w:spacing w:line="249" w:lineRule="auto"/>
        <w:ind w:left="567" w:right="829"/>
        <w:jc w:val="both"/>
        <w:rPr>
          <w:sz w:val="32"/>
          <w:szCs w:val="32"/>
        </w:rPr>
      </w:pPr>
    </w:p>
    <w:p w14:paraId="63D645CE" w14:textId="750ACFDB" w:rsidR="00EE33C0" w:rsidRDefault="00EE33C0" w:rsidP="00EE33C0">
      <w:pPr>
        <w:pStyle w:val="Heading2"/>
        <w:ind w:left="567" w:right="829"/>
      </w:pPr>
      <w:r>
        <w:t>Supplementary</w:t>
      </w:r>
      <w:r>
        <w:rPr>
          <w:spacing w:val="-6"/>
        </w:rPr>
        <w:t xml:space="preserve"> </w:t>
      </w:r>
      <w:r>
        <w:rPr>
          <w:spacing w:val="-2"/>
        </w:rPr>
        <w:t>Reference</w:t>
      </w:r>
      <w:r>
        <w:rPr>
          <w:spacing w:val="-2"/>
        </w:rPr>
        <w:t>:</w:t>
      </w:r>
    </w:p>
    <w:p w14:paraId="176FBC30" w14:textId="10DF40B1" w:rsidR="00B76046" w:rsidRPr="001A65B5" w:rsidRDefault="00B76046" w:rsidP="00B76046">
      <w:pPr>
        <w:pStyle w:val="BodyText"/>
        <w:spacing w:line="249" w:lineRule="auto"/>
        <w:ind w:left="567" w:right="829"/>
        <w:jc w:val="both"/>
        <w:rPr>
          <w:sz w:val="72"/>
          <w:szCs w:val="72"/>
        </w:rPr>
      </w:pPr>
    </w:p>
    <w:p w14:paraId="1C443AA6" w14:textId="77777777" w:rsidR="001A65B5" w:rsidRPr="001A65B5" w:rsidRDefault="001A65B5" w:rsidP="00F40DDF">
      <w:pPr>
        <w:spacing w:after="150" w:line="480" w:lineRule="auto"/>
        <w:ind w:left="-15" w:firstLine="582"/>
        <w:rPr>
          <w:sz w:val="32"/>
          <w:szCs w:val="32"/>
        </w:rPr>
      </w:pPr>
      <w:proofErr w:type="spellStart"/>
      <w:r w:rsidRPr="001A65B5">
        <w:rPr>
          <w:sz w:val="32"/>
          <w:szCs w:val="32"/>
        </w:rPr>
        <w:t>Parida</w:t>
      </w:r>
      <w:proofErr w:type="spellEnd"/>
      <w:r w:rsidRPr="001A65B5">
        <w:rPr>
          <w:sz w:val="32"/>
          <w:szCs w:val="32"/>
        </w:rPr>
        <w:t xml:space="preserve">, A. K. and Das, A. B., 2005. </w:t>
      </w:r>
      <w:r w:rsidRPr="001A65B5">
        <w:rPr>
          <w:i/>
          <w:iCs/>
          <w:sz w:val="32"/>
          <w:szCs w:val="32"/>
        </w:rPr>
        <w:t>Salt tolerance and salinity effects on plants: a review.</w:t>
      </w:r>
      <w:r w:rsidRPr="001A65B5">
        <w:rPr>
          <w:sz w:val="32"/>
          <w:szCs w:val="32"/>
        </w:rPr>
        <w:t xml:space="preserve"> Ecotoxicology and Environmental Safety, 60(3), 324–349.</w:t>
      </w:r>
    </w:p>
    <w:p w14:paraId="2ED6F343" w14:textId="77777777" w:rsidR="00F40DDF" w:rsidRDefault="001A65B5" w:rsidP="00F40DDF">
      <w:pPr>
        <w:spacing w:line="480" w:lineRule="auto"/>
        <w:ind w:left="1418" w:hanging="851"/>
        <w:rPr>
          <w:i/>
          <w:iCs/>
          <w:sz w:val="32"/>
          <w:szCs w:val="32"/>
        </w:rPr>
      </w:pPr>
      <w:proofErr w:type="spellStart"/>
      <w:r w:rsidRPr="001A65B5">
        <w:rPr>
          <w:sz w:val="32"/>
          <w:szCs w:val="32"/>
        </w:rPr>
        <w:t>Ogbuethi</w:t>
      </w:r>
      <w:proofErr w:type="spellEnd"/>
      <w:r w:rsidRPr="001A65B5">
        <w:rPr>
          <w:sz w:val="32"/>
          <w:szCs w:val="32"/>
        </w:rPr>
        <w:t xml:space="preserve"> HC, </w:t>
      </w:r>
      <w:proofErr w:type="spellStart"/>
      <w:r w:rsidRPr="001A65B5">
        <w:rPr>
          <w:sz w:val="32"/>
          <w:szCs w:val="32"/>
        </w:rPr>
        <w:t>Madukwe</w:t>
      </w:r>
      <w:proofErr w:type="spellEnd"/>
      <w:r w:rsidRPr="001A65B5">
        <w:rPr>
          <w:sz w:val="32"/>
          <w:szCs w:val="32"/>
        </w:rPr>
        <w:t xml:space="preserve"> DK, and </w:t>
      </w:r>
      <w:proofErr w:type="spellStart"/>
      <w:r w:rsidRPr="001A65B5">
        <w:rPr>
          <w:sz w:val="32"/>
          <w:szCs w:val="32"/>
        </w:rPr>
        <w:t>Ashilonu</w:t>
      </w:r>
      <w:proofErr w:type="spellEnd"/>
      <w:r w:rsidRPr="001A65B5">
        <w:rPr>
          <w:sz w:val="32"/>
          <w:szCs w:val="32"/>
        </w:rPr>
        <w:t xml:space="preserve"> P. 2013. Assessment of hydro priming of seeds on performance of morphological indices of Bambara groundnut (</w:t>
      </w:r>
      <w:r w:rsidRPr="001A65B5">
        <w:rPr>
          <w:i/>
          <w:iCs/>
          <w:sz w:val="32"/>
          <w:szCs w:val="32"/>
        </w:rPr>
        <w:t xml:space="preserve">Vigna </w:t>
      </w:r>
      <w:proofErr w:type="spellStart"/>
      <w:r w:rsidRPr="001A65B5">
        <w:rPr>
          <w:i/>
          <w:iCs/>
          <w:sz w:val="32"/>
          <w:szCs w:val="32"/>
        </w:rPr>
        <w:t>subterrenea</w:t>
      </w:r>
      <w:proofErr w:type="spellEnd"/>
      <w:r w:rsidRPr="001A65B5">
        <w:rPr>
          <w:i/>
          <w:iCs/>
          <w:sz w:val="32"/>
          <w:szCs w:val="32"/>
        </w:rPr>
        <w:t xml:space="preserve"> L.) </w:t>
      </w:r>
      <w:r w:rsidRPr="001A65B5">
        <w:rPr>
          <w:sz w:val="32"/>
          <w:szCs w:val="32"/>
        </w:rPr>
        <w:t xml:space="preserve">landrace. </w:t>
      </w:r>
      <w:r w:rsidRPr="001A65B5">
        <w:rPr>
          <w:i/>
          <w:iCs/>
          <w:sz w:val="32"/>
          <w:szCs w:val="32"/>
        </w:rPr>
        <w:t xml:space="preserve">Global Institution for Research and Education, 2(2): 17-22. </w:t>
      </w:r>
    </w:p>
    <w:p w14:paraId="7621CDD7" w14:textId="77777777" w:rsidR="00F40DDF" w:rsidRDefault="001A65B5" w:rsidP="00F40DDF">
      <w:pPr>
        <w:spacing w:line="480" w:lineRule="auto"/>
        <w:ind w:left="1418" w:hanging="851"/>
        <w:rPr>
          <w:i/>
          <w:iCs/>
          <w:sz w:val="32"/>
          <w:szCs w:val="32"/>
        </w:rPr>
      </w:pPr>
      <w:r w:rsidRPr="00F40DDF">
        <w:rPr>
          <w:sz w:val="32"/>
          <w:szCs w:val="32"/>
          <w:highlight w:val="white"/>
        </w:rPr>
        <w:t>Maguire JD, 1962. Speed of germination- Aid in selection and evaluation for seedling emergence and vigor. Crop Sci 2: 176-177. </w:t>
      </w:r>
      <w:r w:rsidRPr="00F40DDF">
        <w:rPr>
          <w:sz w:val="32"/>
          <w:szCs w:val="32"/>
        </w:rPr>
        <w:t xml:space="preserve"> </w:t>
      </w:r>
    </w:p>
    <w:p w14:paraId="36F6F283" w14:textId="4CEB3374" w:rsidR="00F40DDF" w:rsidRPr="00F40DDF" w:rsidRDefault="00F40DDF" w:rsidP="00F40DDF">
      <w:pPr>
        <w:spacing w:line="480" w:lineRule="auto"/>
        <w:ind w:left="1418" w:hanging="851"/>
        <w:rPr>
          <w:i/>
          <w:iCs/>
          <w:sz w:val="32"/>
          <w:szCs w:val="32"/>
        </w:rPr>
      </w:pPr>
      <w:r w:rsidRPr="00F40DDF">
        <w:rPr>
          <w:sz w:val="32"/>
          <w:szCs w:val="32"/>
        </w:rPr>
        <w:t xml:space="preserve">Beauchamp C, and </w:t>
      </w:r>
      <w:proofErr w:type="spellStart"/>
      <w:r w:rsidRPr="00F40DDF">
        <w:rPr>
          <w:sz w:val="32"/>
          <w:szCs w:val="32"/>
        </w:rPr>
        <w:t>Fridovich</w:t>
      </w:r>
      <w:proofErr w:type="spellEnd"/>
      <w:r w:rsidRPr="00F40DDF">
        <w:rPr>
          <w:sz w:val="32"/>
          <w:szCs w:val="32"/>
        </w:rPr>
        <w:t xml:space="preserve"> I.</w:t>
      </w:r>
      <w:r w:rsidRPr="00F40DDF">
        <w:rPr>
          <w:b/>
          <w:bCs/>
          <w:sz w:val="32"/>
          <w:szCs w:val="32"/>
        </w:rPr>
        <w:t xml:space="preserve"> </w:t>
      </w:r>
      <w:r w:rsidRPr="00F40DDF">
        <w:rPr>
          <w:sz w:val="32"/>
          <w:szCs w:val="32"/>
        </w:rPr>
        <w:t xml:space="preserve">1971. Superoxide dismutase: improved assays and an assay applicable to acrylamide gels. </w:t>
      </w:r>
      <w:r w:rsidRPr="00F40DDF">
        <w:rPr>
          <w:i/>
          <w:iCs/>
          <w:sz w:val="32"/>
          <w:szCs w:val="32"/>
        </w:rPr>
        <w:t>Analytical Biochemistry</w:t>
      </w:r>
      <w:r w:rsidRPr="00F40DDF">
        <w:rPr>
          <w:sz w:val="32"/>
          <w:szCs w:val="32"/>
        </w:rPr>
        <w:t xml:space="preserve">, </w:t>
      </w:r>
      <w:r w:rsidRPr="00F40DDF">
        <w:rPr>
          <w:i/>
          <w:iCs/>
          <w:sz w:val="32"/>
          <w:szCs w:val="32"/>
        </w:rPr>
        <w:t>44</w:t>
      </w:r>
      <w:r w:rsidRPr="00F40DDF">
        <w:rPr>
          <w:sz w:val="32"/>
          <w:szCs w:val="32"/>
        </w:rPr>
        <w:t xml:space="preserve">(1): 276- 287. </w:t>
      </w:r>
    </w:p>
    <w:p w14:paraId="5FC178CD" w14:textId="57A8064B" w:rsidR="001A65B5" w:rsidRPr="00B76046" w:rsidRDefault="001A65B5" w:rsidP="001A65B5">
      <w:pPr>
        <w:pStyle w:val="BodyText"/>
        <w:spacing w:line="249" w:lineRule="auto"/>
        <w:ind w:left="567" w:right="829"/>
        <w:jc w:val="both"/>
      </w:pPr>
    </w:p>
    <w:sectPr w:rsidR="001A65B5" w:rsidRPr="00B76046" w:rsidSect="00B76046">
      <w:pgSz w:w="20636" w:h="29197" w:code="308"/>
      <w:pgMar w:top="425" w:right="280" w:bottom="425" w:left="2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altName w:val="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15B"/>
    <w:rsid w:val="0006294D"/>
    <w:rsid w:val="001A65B5"/>
    <w:rsid w:val="001D23B0"/>
    <w:rsid w:val="0028191C"/>
    <w:rsid w:val="002D1FF0"/>
    <w:rsid w:val="002D2C55"/>
    <w:rsid w:val="002E3685"/>
    <w:rsid w:val="003C4137"/>
    <w:rsid w:val="003C522E"/>
    <w:rsid w:val="00442F1F"/>
    <w:rsid w:val="00445933"/>
    <w:rsid w:val="00463B97"/>
    <w:rsid w:val="004C715B"/>
    <w:rsid w:val="005A09C9"/>
    <w:rsid w:val="005A5BFC"/>
    <w:rsid w:val="00684BA4"/>
    <w:rsid w:val="007A5EE3"/>
    <w:rsid w:val="007E61C2"/>
    <w:rsid w:val="008B7356"/>
    <w:rsid w:val="008F6106"/>
    <w:rsid w:val="00925AC9"/>
    <w:rsid w:val="009815AF"/>
    <w:rsid w:val="009C0D0D"/>
    <w:rsid w:val="00B76046"/>
    <w:rsid w:val="00BF2BA5"/>
    <w:rsid w:val="00D72361"/>
    <w:rsid w:val="00D92423"/>
    <w:rsid w:val="00E31761"/>
    <w:rsid w:val="00E632C3"/>
    <w:rsid w:val="00EE33C0"/>
    <w:rsid w:val="00F40DD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DAB3C"/>
  <w15:docId w15:val="{77AE2CAA-6062-4D0C-8659-A3EE788E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62"/>
      <w:ind w:left="83"/>
      <w:outlineLvl w:val="0"/>
    </w:pPr>
    <w:rPr>
      <w:rFonts w:ascii="Calibri" w:eastAsia="Calibri" w:hAnsi="Calibri" w:cs="Calibri"/>
      <w:b/>
      <w:bCs/>
      <w:sz w:val="80"/>
      <w:szCs w:val="80"/>
    </w:rPr>
  </w:style>
  <w:style w:type="paragraph" w:styleId="Heading2">
    <w:name w:val="heading 2"/>
    <w:basedOn w:val="Normal"/>
    <w:uiPriority w:val="9"/>
    <w:unhideWhenUsed/>
    <w:qFormat/>
    <w:pPr>
      <w:spacing w:before="62"/>
      <w:ind w:left="178"/>
      <w:jc w:val="both"/>
      <w:outlineLvl w:val="1"/>
    </w:pPr>
    <w:rPr>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D72361"/>
    <w:rPr>
      <w:rFonts w:ascii="Times New Roman" w:eastAsia="Times New Roman" w:hAnsi="Times New Roman" w:cs="Times New Roman"/>
      <w:sz w:val="48"/>
      <w:szCs w:val="48"/>
    </w:rPr>
  </w:style>
  <w:style w:type="character" w:styleId="Strong">
    <w:name w:val="Strong"/>
    <w:basedOn w:val="DefaultParagraphFont"/>
    <w:uiPriority w:val="22"/>
    <w:qFormat/>
    <w:rsid w:val="005A09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1747</Words>
  <Characters>10853</Characters>
  <Application>Microsoft Office Word</Application>
  <DocSecurity>0</DocSecurity>
  <Lines>183</Lines>
  <Paragraphs>71</Paragraphs>
  <ScaleCrop>false</ScaleCrop>
  <HeadingPairs>
    <vt:vector size="2" baseType="variant">
      <vt:variant>
        <vt:lpstr>Title</vt:lpstr>
      </vt:variant>
      <vt:variant>
        <vt:i4>1</vt:i4>
      </vt:variant>
    </vt:vector>
  </HeadingPairs>
  <TitlesOfParts>
    <vt:vector size="1" baseType="lpstr">
      <vt:lpstr>PowerPoint Presentation</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andriesnkm@outlook.com</dc:creator>
  <cp:lastModifiedBy>Mbukeni Andrew Nkomo</cp:lastModifiedBy>
  <cp:revision>2</cp:revision>
  <cp:lastPrinted>2025-11-28T13:34:00Z</cp:lastPrinted>
  <dcterms:created xsi:type="dcterms:W3CDTF">2025-11-28T21:37:00Z</dcterms:created>
  <dcterms:modified xsi:type="dcterms:W3CDTF">2025-11-28T21:37:00Z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2019-10-08T00:00:00Z</vt:filetime>
  </property>
  <property fmtid="{D5CDD505-2E9C-101B-9397-08002B2CF9AE}" pid="3" name="Creator">
    <vt:lpwstr>Microsoft® PowerPoint® 2016</vt:lpwstr>
  </property>
  <property fmtid="{D5CDD505-2E9C-101B-9397-08002B2CF9AE}" pid="4" name="LastSaved">
    <vt:filetime>2025-11-27T00:00:00Z</vt:filetime>
  </property>
  <property fmtid="{D5CDD505-2E9C-101B-9397-08002B2CF9AE}" pid="5" name="Producer">
    <vt:lpwstr>Microsoft® PowerPoint® 2016</vt:lpwstr>
  </property>
  <property fmtid="{D5CDD505-2E9C-101B-9397-08002B2CF9AE}" pid="6" name="GrammarlyDocumentId">
    <vt:lpwstr>16bc0b8c-e4e3-48ad-a6de-0d2d87fbd5d6</vt:lpwstr>
  </property>
</Properties>
</file>