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899FD" w14:textId="1BEF29C2" w:rsidR="001440AA" w:rsidRDefault="001440AA" w:rsidP="001440AA">
      <w:pPr>
        <w:spacing w:line="480" w:lineRule="auto"/>
        <w:rPr>
          <w:rFonts w:ascii="Times New Roman" w:hAnsi="Times New Roman" w:cs="Times New Roman"/>
          <w:b/>
          <w:bCs/>
          <w:color w:val="000000" w:themeColor="text1"/>
          <w:sz w:val="24"/>
          <w:szCs w:val="24"/>
        </w:rPr>
      </w:pPr>
      <w:r w:rsidRPr="001440AA">
        <w:rPr>
          <w:rFonts w:ascii="Times New Roman" w:hAnsi="Times New Roman" w:cs="Times New Roman"/>
          <w:b/>
          <w:bCs/>
          <w:color w:val="000000" w:themeColor="text1"/>
          <w:sz w:val="24"/>
          <w:szCs w:val="24"/>
        </w:rPr>
        <w:t>Transcriptomic analysis</w:t>
      </w:r>
    </w:p>
    <w:p w14:paraId="6059BE7A" w14:textId="77777777" w:rsidR="001440AA" w:rsidRPr="00C72C21" w:rsidRDefault="001440AA" w:rsidP="001440AA">
      <w:pPr>
        <w:pStyle w:val="a7"/>
        <w:numPr>
          <w:ilvl w:val="2"/>
          <w:numId w:val="1"/>
        </w:numPr>
        <w:spacing w:line="480" w:lineRule="auto"/>
        <w:ind w:firstLineChars="0"/>
        <w:rPr>
          <w:rFonts w:ascii="Times New Roman" w:hAnsi="Times New Roman" w:cs="Times New Roman"/>
          <w:b/>
          <w:bCs/>
          <w:color w:val="000000" w:themeColor="text1"/>
          <w:sz w:val="24"/>
          <w:szCs w:val="24"/>
        </w:rPr>
      </w:pPr>
      <w:r w:rsidRPr="00C72C21">
        <w:rPr>
          <w:rFonts w:ascii="Times New Roman" w:hAnsi="Times New Roman" w:cs="Times New Roman"/>
          <w:b/>
          <w:bCs/>
          <w:color w:val="000000" w:themeColor="text1"/>
          <w:sz w:val="24"/>
          <w:szCs w:val="24"/>
        </w:rPr>
        <w:t>Transcriptome sequencing and quality control</w:t>
      </w:r>
    </w:p>
    <w:p w14:paraId="6DED4275" w14:textId="77777777" w:rsidR="001440AA" w:rsidRPr="00C72C21" w:rsidRDefault="001440AA" w:rsidP="001440AA">
      <w:pPr>
        <w:spacing w:line="480" w:lineRule="auto"/>
        <w:rPr>
          <w:rFonts w:ascii="Times New Roman" w:hAnsi="Times New Roman" w:cs="Times New Roman"/>
          <w:color w:val="000000" w:themeColor="text1"/>
          <w:sz w:val="24"/>
          <w:szCs w:val="24"/>
        </w:rPr>
      </w:pPr>
      <w:r w:rsidRPr="00C72C21">
        <w:rPr>
          <w:rFonts w:ascii="Times New Roman" w:hAnsi="Times New Roman" w:cs="Times New Roman"/>
          <w:color w:val="000000" w:themeColor="text1"/>
          <w:sz w:val="24"/>
          <w:szCs w:val="24"/>
        </w:rPr>
        <w:t xml:space="preserve">Total RNA was extracted from sorghum leaves using an RNA </w:t>
      </w:r>
      <w:proofErr w:type="spellStart"/>
      <w:r w:rsidRPr="00C72C21">
        <w:rPr>
          <w:rFonts w:ascii="Times New Roman" w:hAnsi="Times New Roman" w:cs="Times New Roman"/>
          <w:color w:val="000000" w:themeColor="text1"/>
          <w:sz w:val="24"/>
          <w:szCs w:val="24"/>
        </w:rPr>
        <w:t>Prepurification</w:t>
      </w:r>
      <w:proofErr w:type="spellEnd"/>
      <w:r w:rsidRPr="00C72C21">
        <w:rPr>
          <w:rFonts w:ascii="Times New Roman" w:hAnsi="Times New Roman" w:cs="Times New Roman"/>
          <w:color w:val="000000" w:themeColor="text1"/>
          <w:sz w:val="24"/>
          <w:szCs w:val="24"/>
        </w:rPr>
        <w:t xml:space="preserve"> Plant Kit (DP411; </w:t>
      </w:r>
      <w:proofErr w:type="spellStart"/>
      <w:r w:rsidRPr="00C72C21">
        <w:rPr>
          <w:rFonts w:ascii="Times New Roman" w:hAnsi="Times New Roman" w:cs="Times New Roman"/>
          <w:color w:val="000000" w:themeColor="text1"/>
          <w:sz w:val="24"/>
          <w:szCs w:val="24"/>
        </w:rPr>
        <w:t>Tiangen</w:t>
      </w:r>
      <w:proofErr w:type="spellEnd"/>
      <w:r w:rsidRPr="00C72C21">
        <w:rPr>
          <w:rFonts w:ascii="Times New Roman" w:hAnsi="Times New Roman" w:cs="Times New Roman"/>
          <w:color w:val="000000" w:themeColor="text1"/>
          <w:sz w:val="24"/>
          <w:szCs w:val="24"/>
        </w:rPr>
        <w:t xml:space="preserve">, Beijing, China). </w:t>
      </w:r>
      <w:r w:rsidRPr="00C72C21">
        <w:rPr>
          <w:rFonts w:ascii="Times New Roman" w:hAnsi="Times New Roman" w:cs="Times New Roman" w:hint="eastAsia"/>
          <w:color w:val="000000" w:themeColor="text1"/>
          <w:sz w:val="24"/>
          <w:szCs w:val="24"/>
        </w:rPr>
        <w:t xml:space="preserve">Three biological replicates were arranged for per treatment. </w:t>
      </w:r>
      <w:r w:rsidRPr="00C72C21">
        <w:rPr>
          <w:rFonts w:ascii="Times New Roman" w:hAnsi="Times New Roman" w:cs="Times New Roman"/>
          <w:color w:val="000000" w:themeColor="text1"/>
          <w:sz w:val="24"/>
          <w:szCs w:val="24"/>
        </w:rPr>
        <w:t xml:space="preserve">The purity and concentration of </w:t>
      </w:r>
      <w:r w:rsidRPr="00C72C21">
        <w:rPr>
          <w:rFonts w:ascii="Times New Roman" w:eastAsia="等线" w:hAnsi="Times New Roman" w:cs="Times New Roman"/>
          <w:color w:val="000000" w:themeColor="text1"/>
          <w:sz w:val="24"/>
          <w:szCs w:val="24"/>
        </w:rPr>
        <w:t>the RNA were dete</w:t>
      </w:r>
      <w:r w:rsidRPr="00C72C21">
        <w:rPr>
          <w:rFonts w:ascii="Times New Roman" w:hAnsi="Times New Roman" w:cs="Times New Roman"/>
          <w:color w:val="000000" w:themeColor="text1"/>
          <w:sz w:val="24"/>
          <w:szCs w:val="24"/>
        </w:rPr>
        <w:t xml:space="preserve">rmined using a </w:t>
      </w:r>
      <w:proofErr w:type="spellStart"/>
      <w:r w:rsidRPr="00C72C21">
        <w:rPr>
          <w:rFonts w:ascii="Times New Roman" w:hAnsi="Times New Roman" w:cs="Times New Roman"/>
          <w:color w:val="000000" w:themeColor="text1"/>
          <w:sz w:val="24"/>
          <w:szCs w:val="24"/>
        </w:rPr>
        <w:t>NanoDrop</w:t>
      </w:r>
      <w:proofErr w:type="spellEnd"/>
      <w:r w:rsidRPr="00C72C21">
        <w:rPr>
          <w:rFonts w:ascii="Times New Roman" w:hAnsi="Times New Roman" w:cs="Times New Roman"/>
          <w:color w:val="000000" w:themeColor="text1"/>
          <w:sz w:val="24"/>
          <w:szCs w:val="24"/>
        </w:rPr>
        <w:t xml:space="preserve"> 2000 spectrophotometer. RNA integrity was accurately detected using an Agilent 2100 </w:t>
      </w:r>
      <w:proofErr w:type="spellStart"/>
      <w:r w:rsidRPr="00C72C21">
        <w:rPr>
          <w:rFonts w:ascii="Times New Roman" w:hAnsi="Times New Roman" w:cs="Times New Roman"/>
          <w:color w:val="000000" w:themeColor="text1"/>
          <w:sz w:val="24"/>
          <w:szCs w:val="24"/>
        </w:rPr>
        <w:t>LabChip</w:t>
      </w:r>
      <w:proofErr w:type="spellEnd"/>
      <w:r w:rsidRPr="00C72C21">
        <w:rPr>
          <w:rFonts w:ascii="Times New Roman" w:hAnsi="Times New Roman" w:cs="Times New Roman"/>
          <w:color w:val="000000" w:themeColor="text1"/>
          <w:sz w:val="24"/>
          <w:szCs w:val="24"/>
        </w:rPr>
        <w:t xml:space="preserve"> GX. Sequencing libraries were constructed using Illumina's RNA-seq Library Preparation Kit (VAHTS® Universal V6, NEB, MA, USA). Sequenced library rows were identified using a Qsep400 analyzer, qualified libraries were sequenced on an Illumina platform (</w:t>
      </w:r>
      <w:proofErr w:type="spellStart"/>
      <w:r w:rsidRPr="00C72C21">
        <w:rPr>
          <w:rFonts w:ascii="Times New Roman" w:hAnsi="Times New Roman" w:cs="Times New Roman"/>
          <w:color w:val="000000" w:themeColor="text1"/>
          <w:sz w:val="24"/>
          <w:szCs w:val="24"/>
        </w:rPr>
        <w:t>NovaSeq</w:t>
      </w:r>
      <w:proofErr w:type="spellEnd"/>
      <w:r w:rsidRPr="00C72C21">
        <w:rPr>
          <w:rFonts w:ascii="Times New Roman" w:hAnsi="Times New Roman" w:cs="Times New Roman"/>
          <w:color w:val="000000" w:themeColor="text1"/>
          <w:sz w:val="24"/>
          <w:szCs w:val="24"/>
        </w:rPr>
        <w:t xml:space="preserve"> 6000; Illumina, CA, USA). </w:t>
      </w:r>
    </w:p>
    <w:p w14:paraId="421B712C" w14:textId="77777777" w:rsidR="001440AA" w:rsidRPr="00C72C21" w:rsidRDefault="001440AA" w:rsidP="001440AA">
      <w:pPr>
        <w:pStyle w:val="a7"/>
        <w:numPr>
          <w:ilvl w:val="2"/>
          <w:numId w:val="1"/>
        </w:numPr>
        <w:spacing w:line="480" w:lineRule="auto"/>
        <w:ind w:firstLineChars="0"/>
        <w:rPr>
          <w:rFonts w:ascii="Times New Roman" w:hAnsi="Times New Roman" w:cs="Times New Roman"/>
          <w:b/>
          <w:bCs/>
          <w:color w:val="000000" w:themeColor="text1"/>
          <w:sz w:val="24"/>
          <w:szCs w:val="24"/>
        </w:rPr>
      </w:pPr>
      <w:r w:rsidRPr="00C72C21">
        <w:rPr>
          <w:rFonts w:ascii="Times New Roman" w:hAnsi="Times New Roman" w:cs="Times New Roman"/>
          <w:b/>
          <w:bCs/>
          <w:color w:val="000000" w:themeColor="text1"/>
          <w:sz w:val="24"/>
          <w:szCs w:val="24"/>
        </w:rPr>
        <w:t>Analysis of transcriptome data</w:t>
      </w:r>
    </w:p>
    <w:p w14:paraId="31D189C4" w14:textId="77777777" w:rsidR="001440AA" w:rsidRPr="00C72C21" w:rsidRDefault="001440AA" w:rsidP="001440AA">
      <w:pPr>
        <w:spacing w:line="480" w:lineRule="auto"/>
        <w:rPr>
          <w:rFonts w:ascii="Times New Roman" w:hAnsi="Times New Roman" w:cs="Times New Roman"/>
          <w:color w:val="000000" w:themeColor="text1"/>
          <w:sz w:val="24"/>
          <w:szCs w:val="24"/>
        </w:rPr>
      </w:pPr>
      <w:r w:rsidRPr="00427467">
        <w:rPr>
          <w:rFonts w:ascii="Times New Roman" w:hAnsi="Times New Roman" w:cs="Times New Roman"/>
          <w:color w:val="000000" w:themeColor="text1"/>
          <w:sz w:val="24"/>
          <w:szCs w:val="24"/>
        </w:rPr>
        <w:t>The clean data filtered out of low-quality reads using the FASTX toolkit (v 0.0.14) were mapped to the reference genome (</w:t>
      </w:r>
      <w:proofErr w:type="spellStart"/>
      <w:r w:rsidRPr="00427467">
        <w:rPr>
          <w:rFonts w:ascii="Times New Roman" w:hAnsi="Times New Roman" w:cs="Times New Roman"/>
          <w:i/>
          <w:iCs/>
          <w:color w:val="000000" w:themeColor="text1"/>
          <w:sz w:val="24"/>
          <w:szCs w:val="24"/>
        </w:rPr>
        <w:t>Sorghum_bicolor</w:t>
      </w:r>
      <w:proofErr w:type="spellEnd"/>
      <w:r w:rsidRPr="00427467">
        <w:rPr>
          <w:rFonts w:ascii="Times New Roman" w:hAnsi="Times New Roman" w:cs="Times New Roman"/>
          <w:color w:val="000000" w:themeColor="text1"/>
          <w:sz w:val="24"/>
          <w:szCs w:val="24"/>
        </w:rPr>
        <w:t xml:space="preserve"> L. v3.1.</w:t>
      </w:r>
      <w:proofErr w:type="gramStart"/>
      <w:r w:rsidRPr="00427467">
        <w:rPr>
          <w:rFonts w:ascii="Times New Roman" w:hAnsi="Times New Roman" w:cs="Times New Roman"/>
          <w:color w:val="000000" w:themeColor="text1"/>
          <w:sz w:val="24"/>
          <w:szCs w:val="24"/>
        </w:rPr>
        <w:t>1.genome</w:t>
      </w:r>
      <w:proofErr w:type="gramEnd"/>
      <w:r w:rsidRPr="00427467">
        <w:rPr>
          <w:rFonts w:ascii="Times New Roman" w:hAnsi="Times New Roman" w:cs="Times New Roman"/>
          <w:color w:val="000000" w:themeColor="text1"/>
          <w:sz w:val="24"/>
          <w:szCs w:val="24"/>
        </w:rPr>
        <w:t>.fa.). Clean Reads were quickly and accurately compared to the reference genome using HISAT2 software. The FPKM (Fragments Per Kilobase of transcript per million fragments mapped) was selected to characterize the gene expression levels. Differentially expressed genes (DEGs) were identified by DESeq2 (v 1.24.0) with the false discovery rate (FDR) &lt; 0.05 and log2 |fold-change| ≥ 1. Gene function annotation was performed using the following databases: the NCBI Official Protein Database (NR), Swiss-</w:t>
      </w:r>
      <w:proofErr w:type="spellStart"/>
      <w:r w:rsidRPr="00427467">
        <w:rPr>
          <w:rFonts w:ascii="Times New Roman" w:hAnsi="Times New Roman" w:cs="Times New Roman"/>
          <w:color w:val="000000" w:themeColor="text1"/>
          <w:sz w:val="24"/>
          <w:szCs w:val="24"/>
        </w:rPr>
        <w:t>Prot</w:t>
      </w:r>
      <w:proofErr w:type="spellEnd"/>
      <w:r w:rsidRPr="00427467">
        <w:rPr>
          <w:rFonts w:ascii="Times New Roman" w:hAnsi="Times New Roman" w:cs="Times New Roman"/>
          <w:color w:val="000000" w:themeColor="text1"/>
          <w:sz w:val="24"/>
          <w:szCs w:val="24"/>
        </w:rPr>
        <w:t xml:space="preserve">, Clusters of Orthologous Groups of Proteins (COG), </w:t>
      </w:r>
      <w:proofErr w:type="spellStart"/>
      <w:r w:rsidRPr="00427467">
        <w:rPr>
          <w:rFonts w:ascii="Times New Roman" w:hAnsi="Times New Roman" w:cs="Times New Roman"/>
          <w:color w:val="000000" w:themeColor="text1"/>
          <w:sz w:val="24"/>
          <w:szCs w:val="24"/>
        </w:rPr>
        <w:t>euKaryotic</w:t>
      </w:r>
      <w:proofErr w:type="spellEnd"/>
      <w:r w:rsidRPr="00427467">
        <w:rPr>
          <w:rFonts w:ascii="Times New Roman" w:hAnsi="Times New Roman" w:cs="Times New Roman"/>
          <w:color w:val="000000" w:themeColor="text1"/>
          <w:sz w:val="24"/>
          <w:szCs w:val="24"/>
        </w:rPr>
        <w:t xml:space="preserve"> Ortholog Groups (KOG), Kyoto Encyclopedia of Genes and Genomes (KEGG), Gene Ontology (GO), </w:t>
      </w:r>
      <w:proofErr w:type="spellStart"/>
      <w:r w:rsidRPr="00427467">
        <w:rPr>
          <w:rFonts w:ascii="Times New Roman" w:hAnsi="Times New Roman" w:cs="Times New Roman"/>
          <w:color w:val="000000" w:themeColor="text1"/>
          <w:sz w:val="24"/>
          <w:szCs w:val="24"/>
        </w:rPr>
        <w:t>Pfam</w:t>
      </w:r>
      <w:proofErr w:type="spellEnd"/>
      <w:r w:rsidRPr="00427467">
        <w:rPr>
          <w:rFonts w:ascii="Times New Roman" w:hAnsi="Times New Roman" w:cs="Times New Roman"/>
          <w:color w:val="000000" w:themeColor="text1"/>
          <w:sz w:val="24"/>
          <w:szCs w:val="24"/>
        </w:rPr>
        <w:t xml:space="preserve">, and </w:t>
      </w:r>
      <w:proofErr w:type="spellStart"/>
      <w:r w:rsidRPr="00427467">
        <w:rPr>
          <w:rFonts w:ascii="Times New Roman" w:hAnsi="Times New Roman" w:cs="Times New Roman"/>
          <w:color w:val="000000" w:themeColor="text1"/>
          <w:sz w:val="24"/>
          <w:szCs w:val="24"/>
        </w:rPr>
        <w:t>eggNOG</w:t>
      </w:r>
      <w:proofErr w:type="spellEnd"/>
      <w:r w:rsidRPr="00C72C21">
        <w:rPr>
          <w:rFonts w:ascii="Times New Roman" w:hAnsi="Times New Roman" w:cs="Times New Roman"/>
          <w:color w:val="000000" w:themeColor="text1"/>
          <w:sz w:val="24"/>
          <w:szCs w:val="24"/>
        </w:rPr>
        <w:t xml:space="preserve">. </w:t>
      </w:r>
    </w:p>
    <w:p w14:paraId="4E9EE371" w14:textId="77777777" w:rsidR="001440AA" w:rsidRPr="00C72C21" w:rsidRDefault="001440AA" w:rsidP="001440AA">
      <w:pPr>
        <w:pStyle w:val="a7"/>
        <w:numPr>
          <w:ilvl w:val="2"/>
          <w:numId w:val="1"/>
        </w:numPr>
        <w:spacing w:line="480" w:lineRule="auto"/>
        <w:ind w:firstLineChars="0"/>
        <w:rPr>
          <w:rFonts w:ascii="Times New Roman" w:hAnsi="Times New Roman" w:cs="Times New Roman"/>
          <w:b/>
          <w:bCs/>
          <w:color w:val="000000" w:themeColor="text1"/>
          <w:sz w:val="24"/>
          <w:szCs w:val="24"/>
        </w:rPr>
      </w:pPr>
      <w:r w:rsidRPr="00C72C21">
        <w:rPr>
          <w:rFonts w:ascii="Times New Roman" w:hAnsi="Times New Roman" w:cs="Times New Roman"/>
          <w:b/>
          <w:bCs/>
          <w:color w:val="000000" w:themeColor="text1"/>
          <w:sz w:val="24"/>
          <w:szCs w:val="24"/>
        </w:rPr>
        <w:lastRenderedPageBreak/>
        <w:t>Quantitative real-time PCR (</w:t>
      </w:r>
      <w:proofErr w:type="spellStart"/>
      <w:r w:rsidRPr="00C72C21">
        <w:rPr>
          <w:rFonts w:ascii="Times New Roman" w:hAnsi="Times New Roman" w:cs="Times New Roman"/>
          <w:b/>
          <w:bCs/>
          <w:color w:val="000000" w:themeColor="text1"/>
          <w:sz w:val="24"/>
          <w:szCs w:val="24"/>
        </w:rPr>
        <w:t>qRT</w:t>
      </w:r>
      <w:proofErr w:type="spellEnd"/>
      <w:r w:rsidRPr="00C72C21">
        <w:rPr>
          <w:rFonts w:ascii="Times New Roman" w:hAnsi="Times New Roman" w:cs="Times New Roman"/>
          <w:b/>
          <w:bCs/>
          <w:color w:val="000000" w:themeColor="text1"/>
          <w:sz w:val="24"/>
          <w:szCs w:val="24"/>
        </w:rPr>
        <w:t>–PCR) validation of DEGs</w:t>
      </w:r>
    </w:p>
    <w:p w14:paraId="40884B94" w14:textId="77777777" w:rsidR="001440AA" w:rsidRPr="00C72C21" w:rsidRDefault="001440AA" w:rsidP="001440AA">
      <w:pPr>
        <w:spacing w:line="480" w:lineRule="auto"/>
        <w:rPr>
          <w:rFonts w:ascii="Times New Roman" w:hAnsi="Times New Roman" w:cs="Times New Roman"/>
          <w:color w:val="000000" w:themeColor="text1"/>
          <w:sz w:val="24"/>
          <w:szCs w:val="24"/>
        </w:rPr>
      </w:pPr>
      <w:r w:rsidRPr="00C72C21">
        <w:rPr>
          <w:rFonts w:ascii="Times New Roman" w:hAnsi="Times New Roman" w:cs="Times New Roman" w:hint="eastAsia"/>
          <w:color w:val="000000" w:themeColor="text1"/>
          <w:sz w:val="24"/>
          <w:szCs w:val="24"/>
        </w:rPr>
        <w:t>Nine</w:t>
      </w:r>
      <w:r w:rsidRPr="00C72C21">
        <w:rPr>
          <w:rFonts w:ascii="Times New Roman" w:hAnsi="Times New Roman" w:cs="Times New Roman"/>
          <w:color w:val="000000" w:themeColor="text1"/>
          <w:sz w:val="24"/>
          <w:szCs w:val="24"/>
        </w:rPr>
        <w:t xml:space="preserve"> DEGs were selected for validation based on </w:t>
      </w:r>
      <w:r w:rsidRPr="00C72C21">
        <w:rPr>
          <w:rFonts w:ascii="Times New Roman" w:eastAsia="等线" w:hAnsi="Times New Roman" w:cs="Times New Roman"/>
          <w:color w:val="000000" w:themeColor="text1"/>
          <w:sz w:val="24"/>
          <w:szCs w:val="24"/>
        </w:rPr>
        <w:t>the transcriptome data. Primers (</w:t>
      </w:r>
      <w:r w:rsidRPr="00C72C21">
        <w:rPr>
          <w:rFonts w:ascii="Times New Roman" w:hAnsi="Times New Roman" w:cs="Times New Roman"/>
          <w:color w:val="000000" w:themeColor="text1"/>
          <w:sz w:val="24"/>
          <w:szCs w:val="24"/>
        </w:rPr>
        <w:t>Table S</w:t>
      </w:r>
      <w:r w:rsidRPr="00C72C21">
        <w:rPr>
          <w:rFonts w:ascii="Times New Roman" w:hAnsi="Times New Roman" w:cs="Times New Roman" w:hint="eastAsia"/>
          <w:color w:val="000000" w:themeColor="text1"/>
          <w:sz w:val="24"/>
          <w:szCs w:val="24"/>
        </w:rPr>
        <w:t>1</w:t>
      </w:r>
      <w:r w:rsidRPr="00C72C21">
        <w:rPr>
          <w:rFonts w:ascii="Times New Roman" w:hAnsi="Times New Roman" w:cs="Times New Roman"/>
          <w:color w:val="000000" w:themeColor="text1"/>
          <w:sz w:val="24"/>
          <w:szCs w:val="24"/>
        </w:rPr>
        <w:t xml:space="preserve">) were designed using Primer 6.0. The RNA from each sample was reverse transcribed into cDNA using the cDNA First Strand Synthesis Kit, referring to the Novus </w:t>
      </w:r>
      <w:proofErr w:type="spellStart"/>
      <w:r w:rsidRPr="00C72C21">
        <w:rPr>
          <w:rFonts w:ascii="Times New Roman" w:hAnsi="Times New Roman" w:cs="Times New Roman"/>
          <w:color w:val="000000" w:themeColor="text1"/>
          <w:sz w:val="24"/>
          <w:szCs w:val="24"/>
        </w:rPr>
        <w:t>HiScript</w:t>
      </w:r>
      <w:proofErr w:type="spellEnd"/>
      <w:r w:rsidRPr="00C72C21">
        <w:rPr>
          <w:rFonts w:ascii="Times New Roman" w:hAnsi="Times New Roman" w:cs="Times New Roman"/>
          <w:color w:val="000000" w:themeColor="text1"/>
          <w:sz w:val="24"/>
          <w:szCs w:val="24"/>
        </w:rPr>
        <w:t xml:space="preserve"> II Q RT </w:t>
      </w:r>
      <w:proofErr w:type="spellStart"/>
      <w:r w:rsidRPr="00C72C21">
        <w:rPr>
          <w:rFonts w:ascii="Times New Roman" w:hAnsi="Times New Roman" w:cs="Times New Roman"/>
          <w:color w:val="000000" w:themeColor="text1"/>
          <w:sz w:val="24"/>
          <w:szCs w:val="24"/>
        </w:rPr>
        <w:t>SuperMix</w:t>
      </w:r>
      <w:proofErr w:type="spellEnd"/>
      <w:r w:rsidRPr="00C72C21">
        <w:rPr>
          <w:rFonts w:ascii="Times New Roman" w:hAnsi="Times New Roman" w:cs="Times New Roman"/>
          <w:color w:val="000000" w:themeColor="text1"/>
          <w:sz w:val="24"/>
          <w:szCs w:val="24"/>
        </w:rPr>
        <w:t xml:space="preserve"> for</w:t>
      </w:r>
      <w:r w:rsidRPr="00C72C21">
        <w:rPr>
          <w:rFonts w:ascii="Times New Roman" w:eastAsia="等线" w:hAnsi="Times New Roman" w:cs="Times New Roman"/>
          <w:color w:val="000000" w:themeColor="text1"/>
          <w:sz w:val="24"/>
          <w:szCs w:val="24"/>
        </w:rPr>
        <w:t xml:space="preserve"> qPCR</w:t>
      </w:r>
      <w:r w:rsidRPr="00C72C21">
        <w:rPr>
          <w:rFonts w:ascii="Times New Roman" w:hAnsi="Times New Roman" w:cs="Times New Roman"/>
          <w:color w:val="000000" w:themeColor="text1"/>
          <w:sz w:val="24"/>
          <w:szCs w:val="24"/>
        </w:rPr>
        <w:t xml:space="preserve"> (+gDNA wiper) kit. The total reaction system was 20 </w:t>
      </w:r>
      <w:proofErr w:type="spellStart"/>
      <w:r w:rsidRPr="00C72C21">
        <w:rPr>
          <w:rFonts w:ascii="Times New Roman" w:hAnsi="Times New Roman" w:cs="Times New Roman"/>
          <w:color w:val="000000" w:themeColor="text1"/>
          <w:sz w:val="24"/>
          <w:szCs w:val="24"/>
        </w:rPr>
        <w:t>μL</w:t>
      </w:r>
      <w:proofErr w:type="spellEnd"/>
      <w:r w:rsidRPr="00C72C21">
        <w:rPr>
          <w:rFonts w:ascii="Times New Roman" w:hAnsi="Times New Roman" w:cs="Times New Roman"/>
          <w:color w:val="000000" w:themeColor="text1"/>
          <w:sz w:val="24"/>
          <w:szCs w:val="24"/>
        </w:rPr>
        <w:t xml:space="preserve">. The </w:t>
      </w:r>
      <w:proofErr w:type="spellStart"/>
      <w:r w:rsidRPr="00C72C21">
        <w:rPr>
          <w:rFonts w:ascii="Times New Roman" w:hAnsi="Times New Roman" w:cs="Times New Roman"/>
          <w:color w:val="000000" w:themeColor="text1"/>
          <w:sz w:val="24"/>
          <w:szCs w:val="24"/>
        </w:rPr>
        <w:t>qRT</w:t>
      </w:r>
      <w:proofErr w:type="spellEnd"/>
      <w:r w:rsidRPr="00C72C21">
        <w:rPr>
          <w:rFonts w:ascii="Times New Roman" w:hAnsi="Times New Roman" w:cs="Times New Roman"/>
          <w:color w:val="000000" w:themeColor="text1"/>
          <w:sz w:val="24"/>
          <w:szCs w:val="24"/>
        </w:rPr>
        <w:t>-PCR reaction was performed as following procedure: pre-denaturation at 95 ℃ (3 min), denaturation at 95 ℃ (5 s), annealing at 50–60 ℃ (10 s), extension program at 72 °C (15 s). Forty cycles were performed</w:t>
      </w:r>
      <w:r w:rsidRPr="00C72C21">
        <w:rPr>
          <w:rFonts w:ascii="Times New Roman" w:eastAsia="等线" w:hAnsi="Times New Roman" w:cs="Times New Roman"/>
          <w:color w:val="000000" w:themeColor="text1"/>
          <w:sz w:val="24"/>
          <w:szCs w:val="24"/>
        </w:rPr>
        <w:t xml:space="preserve">, with </w:t>
      </w:r>
      <w:r w:rsidRPr="00C72C21">
        <w:rPr>
          <w:rFonts w:ascii="Times New Roman" w:hAnsi="Times New Roman" w:cs="Times New Roman"/>
          <w:color w:val="000000" w:themeColor="text1"/>
          <w:sz w:val="24"/>
          <w:szCs w:val="24"/>
        </w:rPr>
        <w:t>three replicates per sample. The 2</w:t>
      </w:r>
      <w:r w:rsidRPr="00C72C21">
        <w:rPr>
          <w:rFonts w:ascii="Times New Roman" w:hAnsi="Times New Roman" w:cs="Times New Roman"/>
          <w:color w:val="000000" w:themeColor="text1"/>
          <w:sz w:val="24"/>
          <w:szCs w:val="24"/>
          <w:vertAlign w:val="superscript"/>
        </w:rPr>
        <w:t>-ΔΔCt</w:t>
      </w:r>
      <w:r w:rsidRPr="00C72C21">
        <w:rPr>
          <w:rFonts w:ascii="Times New Roman" w:hAnsi="Times New Roman" w:cs="Times New Roman"/>
          <w:color w:val="000000" w:themeColor="text1"/>
          <w:sz w:val="24"/>
          <w:szCs w:val="24"/>
        </w:rPr>
        <w:t xml:space="preserve"> method was selected to calculate the relative expression level.</w:t>
      </w:r>
    </w:p>
    <w:p w14:paraId="4121B1C5" w14:textId="77777777" w:rsidR="001440AA" w:rsidRPr="001440AA" w:rsidRDefault="001440AA" w:rsidP="001440AA">
      <w:pPr>
        <w:spacing w:line="480" w:lineRule="auto"/>
        <w:rPr>
          <w:rFonts w:ascii="Times New Roman" w:hAnsi="Times New Roman" w:cs="Times New Roman"/>
          <w:b/>
          <w:bCs/>
          <w:color w:val="000000" w:themeColor="text1"/>
          <w:sz w:val="24"/>
          <w:szCs w:val="24"/>
        </w:rPr>
      </w:pPr>
    </w:p>
    <w:p w14:paraId="7EC0E879" w14:textId="77777777" w:rsidR="00C227B2" w:rsidRDefault="00C227B2"/>
    <w:sectPr w:rsidR="00C227B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D56B5" w14:textId="77777777" w:rsidR="0019299C" w:rsidRDefault="0019299C" w:rsidP="001440AA">
      <w:r>
        <w:separator/>
      </w:r>
    </w:p>
  </w:endnote>
  <w:endnote w:type="continuationSeparator" w:id="0">
    <w:p w14:paraId="7366BE4F" w14:textId="77777777" w:rsidR="0019299C" w:rsidRDefault="0019299C" w:rsidP="00144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E186B" w14:textId="77777777" w:rsidR="0019299C" w:rsidRDefault="0019299C" w:rsidP="001440AA">
      <w:r>
        <w:separator/>
      </w:r>
    </w:p>
  </w:footnote>
  <w:footnote w:type="continuationSeparator" w:id="0">
    <w:p w14:paraId="60C328C5" w14:textId="77777777" w:rsidR="0019299C" w:rsidRDefault="0019299C" w:rsidP="001440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D4385B"/>
    <w:multiLevelType w:val="multilevel"/>
    <w:tmpl w:val="16E486E6"/>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DF2"/>
    <w:rsid w:val="001440AA"/>
    <w:rsid w:val="0019299C"/>
    <w:rsid w:val="00A21DF2"/>
    <w:rsid w:val="00C227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2FC8FB"/>
  <w15:chartTrackingRefBased/>
  <w15:docId w15:val="{368E0113-97D5-4AED-B91D-BF0E8BDC4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40A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440AA"/>
    <w:rPr>
      <w:sz w:val="18"/>
      <w:szCs w:val="18"/>
    </w:rPr>
  </w:style>
  <w:style w:type="paragraph" w:styleId="a5">
    <w:name w:val="footer"/>
    <w:basedOn w:val="a"/>
    <w:link w:val="a6"/>
    <w:uiPriority w:val="99"/>
    <w:unhideWhenUsed/>
    <w:rsid w:val="001440AA"/>
    <w:pPr>
      <w:tabs>
        <w:tab w:val="center" w:pos="4153"/>
        <w:tab w:val="right" w:pos="8306"/>
      </w:tabs>
      <w:snapToGrid w:val="0"/>
      <w:jc w:val="left"/>
    </w:pPr>
    <w:rPr>
      <w:sz w:val="18"/>
      <w:szCs w:val="18"/>
    </w:rPr>
  </w:style>
  <w:style w:type="character" w:customStyle="1" w:styleId="a6">
    <w:name w:val="页脚 字符"/>
    <w:basedOn w:val="a0"/>
    <w:link w:val="a5"/>
    <w:uiPriority w:val="99"/>
    <w:rsid w:val="001440AA"/>
    <w:rPr>
      <w:sz w:val="18"/>
      <w:szCs w:val="18"/>
    </w:rPr>
  </w:style>
  <w:style w:type="paragraph" w:styleId="a7">
    <w:name w:val="List Paragraph"/>
    <w:basedOn w:val="a"/>
    <w:uiPriority w:val="34"/>
    <w:qFormat/>
    <w:rsid w:val="001440AA"/>
    <w:pPr>
      <w:ind w:firstLineChars="200" w:firstLine="420"/>
    </w:pPr>
    <w:rP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340</Words>
  <Characters>1941</Characters>
  <Application>Microsoft Office Word</Application>
  <DocSecurity>0</DocSecurity>
  <Lines>16</Lines>
  <Paragraphs>4</Paragraphs>
  <ScaleCrop>false</ScaleCrop>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前 马</dc:creator>
  <cp:keywords/>
  <dc:description/>
  <cp:lastModifiedBy>前 马</cp:lastModifiedBy>
  <cp:revision>2</cp:revision>
  <dcterms:created xsi:type="dcterms:W3CDTF">2025-10-16T08:33:00Z</dcterms:created>
  <dcterms:modified xsi:type="dcterms:W3CDTF">2025-10-16T08:34:00Z</dcterms:modified>
</cp:coreProperties>
</file>