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721" w:rsidRDefault="009D7DF5">
      <w:pPr>
        <w:rPr>
          <w:rFonts w:hint="eastAsia"/>
        </w:rPr>
      </w:pPr>
      <w:r>
        <w:rPr>
          <w:noProof/>
        </w:rPr>
        <w:drawing>
          <wp:inline distT="0" distB="0" distL="0" distR="0">
            <wp:extent cx="5274310" cy="76098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 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609840"/>
                    </a:xfrm>
                    <a:prstGeom prst="rect">
                      <a:avLst/>
                    </a:prstGeom>
                  </pic:spPr>
                </pic:pic>
              </a:graphicData>
            </a:graphic>
          </wp:inline>
        </w:drawing>
      </w:r>
    </w:p>
    <w:p w:rsidR="009D7DF5" w:rsidRDefault="009D7DF5">
      <w:pPr>
        <w:rPr>
          <w:rFonts w:ascii="Times New Roman" w:hAnsi="Times New Roman" w:cs="Times New Roman" w:hint="eastAsia"/>
        </w:rPr>
      </w:pPr>
      <w:proofErr w:type="gramStart"/>
      <w:r w:rsidRPr="009D7DF5">
        <w:rPr>
          <w:rFonts w:ascii="Times New Roman" w:hAnsi="Times New Roman" w:cs="Times New Roman"/>
        </w:rPr>
        <w:t>Supplementary Fig.</w:t>
      </w:r>
      <w:proofErr w:type="gramEnd"/>
      <w:r w:rsidRPr="009D7DF5">
        <w:rPr>
          <w:rFonts w:ascii="Times New Roman" w:hAnsi="Times New Roman" w:cs="Times New Roman"/>
        </w:rPr>
        <w:t xml:space="preserve"> </w:t>
      </w:r>
      <w:proofErr w:type="gramStart"/>
      <w:r w:rsidRPr="009D7DF5">
        <w:rPr>
          <w:rFonts w:ascii="Times New Roman" w:hAnsi="Times New Roman" w:cs="Times New Roman"/>
        </w:rPr>
        <w:t>S1</w:t>
      </w:r>
      <w:r>
        <w:rPr>
          <w:rFonts w:ascii="Times New Roman" w:hAnsi="Times New Roman" w:cs="Times New Roman" w:hint="eastAsia"/>
        </w:rPr>
        <w:t xml:space="preserve"> </w:t>
      </w:r>
      <w:r w:rsidRPr="009D7DF5">
        <w:rPr>
          <w:rFonts w:ascii="Times New Roman" w:hAnsi="Times New Roman" w:cs="Times New Roman"/>
        </w:rPr>
        <w:t>Establishment and optimization of the tissue culture and transformation system for </w:t>
      </w:r>
      <w:proofErr w:type="spellStart"/>
      <w:r w:rsidRPr="009D7DF5">
        <w:rPr>
          <w:rFonts w:ascii="Times New Roman" w:hAnsi="Times New Roman" w:cs="Times New Roman"/>
          <w:i/>
          <w:iCs/>
        </w:rPr>
        <w:t>Dendrobium</w:t>
      </w:r>
      <w:proofErr w:type="spellEnd"/>
      <w:r w:rsidRPr="009D7DF5">
        <w:rPr>
          <w:rFonts w:ascii="Times New Roman" w:hAnsi="Times New Roman" w:cs="Times New Roman"/>
          <w:i/>
          <w:iCs/>
        </w:rPr>
        <w:t xml:space="preserve"> </w:t>
      </w:r>
      <w:proofErr w:type="spellStart"/>
      <w:r w:rsidRPr="009D7DF5">
        <w:rPr>
          <w:rFonts w:ascii="Times New Roman" w:hAnsi="Times New Roman" w:cs="Times New Roman"/>
          <w:i/>
          <w:iCs/>
        </w:rPr>
        <w:t>officinale</w:t>
      </w:r>
      <w:proofErr w:type="spellEnd"/>
      <w:r w:rsidRPr="009D7DF5">
        <w:rPr>
          <w:rFonts w:ascii="Times New Roman" w:hAnsi="Times New Roman" w:cs="Times New Roman"/>
        </w:rPr>
        <w:t xml:space="preserve"> and molecular identification of </w:t>
      </w:r>
      <w:r w:rsidRPr="009D7DF5">
        <w:rPr>
          <w:rFonts w:ascii="Times New Roman" w:hAnsi="Times New Roman" w:cs="Times New Roman"/>
          <w:i/>
        </w:rPr>
        <w:t>CcMYB24</w:t>
      </w:r>
      <w:r w:rsidRPr="009D7DF5">
        <w:rPr>
          <w:rFonts w:ascii="Times New Roman" w:hAnsi="Times New Roman" w:cs="Times New Roman"/>
        </w:rPr>
        <w:t>-overexpressing lines.</w:t>
      </w:r>
      <w:proofErr w:type="gramEnd"/>
    </w:p>
    <w:p w:rsidR="009D7DF5" w:rsidRPr="009D7DF5" w:rsidRDefault="009D7DF5">
      <w:pPr>
        <w:rPr>
          <w:rFonts w:ascii="Times New Roman" w:hAnsi="Times New Roman" w:cs="Times New Roman"/>
        </w:rPr>
      </w:pPr>
      <w:r w:rsidRPr="009D7DF5">
        <w:rPr>
          <w:rFonts w:ascii="Times New Roman" w:hAnsi="Times New Roman" w:cs="Times New Roman"/>
        </w:rPr>
        <w:t xml:space="preserve">(A) Initial in vitro culture of </w:t>
      </w:r>
      <w:proofErr w:type="spellStart"/>
      <w:r w:rsidRPr="009D7DF5">
        <w:rPr>
          <w:rFonts w:ascii="Times New Roman" w:hAnsi="Times New Roman" w:cs="Times New Roman"/>
        </w:rPr>
        <w:t>protocorm</w:t>
      </w:r>
      <w:proofErr w:type="spellEnd"/>
      <w:r w:rsidRPr="009D7DF5">
        <w:rPr>
          <w:rFonts w:ascii="Times New Roman" w:hAnsi="Times New Roman" w:cs="Times New Roman"/>
        </w:rPr>
        <w:t>-like bodies (PLBs) derived from </w:t>
      </w:r>
      <w:r w:rsidRPr="009D7DF5">
        <w:rPr>
          <w:rFonts w:ascii="Times New Roman" w:hAnsi="Times New Roman" w:cs="Times New Roman"/>
          <w:i/>
          <w:iCs/>
        </w:rPr>
        <w:t xml:space="preserve">D. </w:t>
      </w:r>
      <w:proofErr w:type="spellStart"/>
      <w:r w:rsidRPr="009D7DF5">
        <w:rPr>
          <w:rFonts w:ascii="Times New Roman" w:hAnsi="Times New Roman" w:cs="Times New Roman"/>
          <w:i/>
          <w:iCs/>
        </w:rPr>
        <w:t>officinale</w:t>
      </w:r>
      <w:proofErr w:type="spellEnd"/>
      <w:r w:rsidRPr="009D7DF5">
        <w:rPr>
          <w:rFonts w:ascii="Times New Roman" w:hAnsi="Times New Roman" w:cs="Times New Roman"/>
        </w:rPr>
        <w:t xml:space="preserve">. Explants were cultured on basal medium to induce </w:t>
      </w:r>
      <w:proofErr w:type="spellStart"/>
      <w:r w:rsidRPr="009D7DF5">
        <w:rPr>
          <w:rFonts w:ascii="Times New Roman" w:hAnsi="Times New Roman" w:cs="Times New Roman"/>
        </w:rPr>
        <w:t>protocorm</w:t>
      </w:r>
      <w:proofErr w:type="spellEnd"/>
      <w:r w:rsidRPr="009D7DF5">
        <w:rPr>
          <w:rFonts w:ascii="Times New Roman" w:hAnsi="Times New Roman" w:cs="Times New Roman"/>
        </w:rPr>
        <w:t xml:space="preserve"> formation under aseptic conditions.</w:t>
      </w:r>
      <w:r w:rsidRPr="009D7DF5">
        <w:rPr>
          <w:rFonts w:ascii="Times New Roman" w:hAnsi="Times New Roman" w:cs="Times New Roman"/>
        </w:rPr>
        <w:br/>
        <w:t xml:space="preserve">(B) Proliferation of PLBs and shoot multiplication in culture bottles under optimized proliferation </w:t>
      </w:r>
      <w:r w:rsidRPr="009D7DF5">
        <w:rPr>
          <w:rFonts w:ascii="Times New Roman" w:hAnsi="Times New Roman" w:cs="Times New Roman"/>
        </w:rPr>
        <w:lastRenderedPageBreak/>
        <w:t xml:space="preserve">conditions. Robust clump formation and multiple shoot </w:t>
      </w:r>
      <w:proofErr w:type="gramStart"/>
      <w:r w:rsidRPr="009D7DF5">
        <w:rPr>
          <w:rFonts w:ascii="Times New Roman" w:hAnsi="Times New Roman" w:cs="Times New Roman"/>
        </w:rPr>
        <w:t>emergence</w:t>
      </w:r>
      <w:proofErr w:type="gramEnd"/>
      <w:r w:rsidRPr="009D7DF5">
        <w:rPr>
          <w:rFonts w:ascii="Times New Roman" w:hAnsi="Times New Roman" w:cs="Times New Roman"/>
        </w:rPr>
        <w:t xml:space="preserve"> indicate effective multiplication.</w:t>
      </w:r>
      <w:r w:rsidRPr="009D7DF5">
        <w:rPr>
          <w:rFonts w:ascii="Times New Roman" w:hAnsi="Times New Roman" w:cs="Times New Roman"/>
        </w:rPr>
        <w:br/>
        <w:t>© Activation and contamination control of </w:t>
      </w:r>
      <w:r w:rsidRPr="009D7DF5">
        <w:rPr>
          <w:rFonts w:ascii="Times New Roman" w:hAnsi="Times New Roman" w:cs="Times New Roman"/>
          <w:i/>
          <w:iCs/>
        </w:rPr>
        <w:t xml:space="preserve">Agrobacterium </w:t>
      </w:r>
      <w:proofErr w:type="spellStart"/>
      <w:r w:rsidRPr="009D7DF5">
        <w:rPr>
          <w:rFonts w:ascii="Times New Roman" w:hAnsi="Times New Roman" w:cs="Times New Roman"/>
          <w:i/>
          <w:iCs/>
        </w:rPr>
        <w:t>tumefaciens</w:t>
      </w:r>
      <w:proofErr w:type="spellEnd"/>
      <w:r w:rsidRPr="009D7DF5">
        <w:rPr>
          <w:rFonts w:ascii="Times New Roman" w:hAnsi="Times New Roman" w:cs="Times New Roman"/>
        </w:rPr>
        <w:t> cultures. A representative Petri dish shows bacterial growth used for transformation and the absence of fungal or bacterial contaminants in plant tissue cultures.</w:t>
      </w:r>
      <w:r w:rsidRPr="009D7DF5">
        <w:rPr>
          <w:rFonts w:ascii="Times New Roman" w:hAnsi="Times New Roman" w:cs="Times New Roman"/>
        </w:rPr>
        <w:br/>
        <w:t>(D) PCR identification of CcMYB24-overexpressing </w:t>
      </w:r>
      <w:r w:rsidRPr="009D7DF5">
        <w:rPr>
          <w:rFonts w:ascii="Times New Roman" w:hAnsi="Times New Roman" w:cs="Times New Roman"/>
          <w:i/>
          <w:iCs/>
        </w:rPr>
        <w:t xml:space="preserve">D. </w:t>
      </w:r>
      <w:proofErr w:type="spellStart"/>
      <w:r w:rsidRPr="009D7DF5">
        <w:rPr>
          <w:rFonts w:ascii="Times New Roman" w:hAnsi="Times New Roman" w:cs="Times New Roman"/>
          <w:i/>
          <w:iCs/>
        </w:rPr>
        <w:t>officinale</w:t>
      </w:r>
      <w:proofErr w:type="spellEnd"/>
      <w:r w:rsidRPr="009D7DF5">
        <w:rPr>
          <w:rFonts w:ascii="Times New Roman" w:hAnsi="Times New Roman" w:cs="Times New Roman"/>
        </w:rPr>
        <w:t xml:space="preserve"> plants. </w:t>
      </w:r>
      <w:proofErr w:type="spellStart"/>
      <w:r w:rsidRPr="009D7DF5">
        <w:rPr>
          <w:rFonts w:ascii="Times New Roman" w:hAnsi="Times New Roman" w:cs="Times New Roman"/>
        </w:rPr>
        <w:t>Agarose</w:t>
      </w:r>
      <w:proofErr w:type="spellEnd"/>
      <w:r w:rsidRPr="009D7DF5">
        <w:rPr>
          <w:rFonts w:ascii="Times New Roman" w:hAnsi="Times New Roman" w:cs="Times New Roman"/>
        </w:rPr>
        <w:t xml:space="preserve"> gel electrophoresis shows amplification of the CcMYB24 transgene from genomic DNA of putative </w:t>
      </w:r>
      <w:proofErr w:type="spellStart"/>
      <w:r w:rsidRPr="009D7DF5">
        <w:rPr>
          <w:rFonts w:ascii="Times New Roman" w:hAnsi="Times New Roman" w:cs="Times New Roman"/>
        </w:rPr>
        <w:t>transformants</w:t>
      </w:r>
      <w:proofErr w:type="spellEnd"/>
      <w:r w:rsidRPr="009D7DF5">
        <w:rPr>
          <w:rFonts w:ascii="Times New Roman" w:hAnsi="Times New Roman" w:cs="Times New Roman"/>
        </w:rPr>
        <w:t xml:space="preserve">. </w:t>
      </w:r>
      <w:proofErr w:type="gramStart"/>
      <w:r w:rsidRPr="009D7DF5">
        <w:rPr>
          <w:rFonts w:ascii="Times New Roman" w:hAnsi="Times New Roman" w:cs="Times New Roman"/>
        </w:rPr>
        <w:t>Lane M, DNA marker; lane C, negative control (wild-type); lanes 1–n, independent transgenic lines.</w:t>
      </w:r>
      <w:proofErr w:type="gramEnd"/>
      <w:r w:rsidRPr="009D7DF5">
        <w:rPr>
          <w:rFonts w:ascii="Times New Roman" w:hAnsi="Times New Roman" w:cs="Times New Roman"/>
        </w:rPr>
        <w:t xml:space="preserve"> A specific band at approximately 1 500–2 000 </w:t>
      </w:r>
      <w:proofErr w:type="spellStart"/>
      <w:r w:rsidRPr="009D7DF5">
        <w:rPr>
          <w:rFonts w:ascii="Times New Roman" w:hAnsi="Times New Roman" w:cs="Times New Roman"/>
        </w:rPr>
        <w:t>bp</w:t>
      </w:r>
      <w:proofErr w:type="spellEnd"/>
      <w:r w:rsidRPr="009D7DF5">
        <w:rPr>
          <w:rFonts w:ascii="Times New Roman" w:hAnsi="Times New Roman" w:cs="Times New Roman"/>
        </w:rPr>
        <w:t xml:space="preserve"> corresponds to the expected size of the CcMYB24 coding sequence, confirming successful integration of the transgene.</w:t>
      </w:r>
      <w:r w:rsidRPr="009D7DF5">
        <w:rPr>
          <w:rFonts w:ascii="Times New Roman" w:hAnsi="Times New Roman" w:cs="Times New Roman"/>
        </w:rPr>
        <w:br/>
        <w:t xml:space="preserve">(E) Effects of nine proliferation media (E1–E9) on PLB multiplication. The upper panel shows representative PLBs grown on nine different </w:t>
      </w:r>
      <w:proofErr w:type="gramStart"/>
      <w:r w:rsidRPr="009D7DF5">
        <w:rPr>
          <w:rFonts w:ascii="Times New Roman" w:hAnsi="Times New Roman" w:cs="Times New Roman"/>
        </w:rPr>
        <w:t>media,</w:t>
      </w:r>
      <w:proofErr w:type="gramEnd"/>
      <w:r w:rsidRPr="009D7DF5">
        <w:rPr>
          <w:rFonts w:ascii="Times New Roman" w:hAnsi="Times New Roman" w:cs="Times New Roman"/>
        </w:rPr>
        <w:t> </w:t>
      </w:r>
      <w:r w:rsidRPr="009D7DF5">
        <w:rPr>
          <w:rFonts w:ascii="Times New Roman" w:hAnsi="Times New Roman" w:cs="Times New Roman"/>
          <w:bCs/>
        </w:rPr>
        <w:t>numbered 1–9 on the photographs</w:t>
      </w:r>
      <w:r w:rsidRPr="009D7DF5">
        <w:rPr>
          <w:rFonts w:ascii="Times New Roman" w:hAnsi="Times New Roman" w:cs="Times New Roman"/>
        </w:rPr>
        <w:t>, each corresponding to a distinct combination of 6-BA, NAA and organic additives (see Methods for detailed compositions). The lower bar graph presents the multiplication coefficient for treatments </w:t>
      </w:r>
      <w:r w:rsidRPr="009D7DF5">
        <w:rPr>
          <w:rFonts w:ascii="Times New Roman" w:hAnsi="Times New Roman" w:cs="Times New Roman"/>
          <w:bCs/>
        </w:rPr>
        <w:t>E1–E9</w:t>
      </w:r>
      <w:r w:rsidRPr="009D7DF5">
        <w:rPr>
          <w:rFonts w:ascii="Times New Roman" w:hAnsi="Times New Roman" w:cs="Times New Roman"/>
        </w:rPr>
        <w:t xml:space="preserve">, which match </w:t>
      </w:r>
      <w:r>
        <w:rPr>
          <w:rFonts w:ascii="Times New Roman" w:hAnsi="Times New Roman" w:cs="Times New Roman"/>
        </w:rPr>
        <w:t>image</w:t>
      </w:r>
      <w:r>
        <w:rPr>
          <w:rFonts w:ascii="Times New Roman" w:hAnsi="Times New Roman" w:cs="Times New Roman" w:hint="eastAsia"/>
        </w:rPr>
        <w:t xml:space="preserve"> E</w:t>
      </w:r>
      <w:r w:rsidRPr="009D7DF5">
        <w:rPr>
          <w:rFonts w:ascii="Times New Roman" w:hAnsi="Times New Roman" w:cs="Times New Roman"/>
          <w:bCs/>
        </w:rPr>
        <w:t>1–9</w:t>
      </w:r>
      <w:r>
        <w:rPr>
          <w:rFonts w:ascii="Times New Roman" w:hAnsi="Times New Roman" w:cs="Times New Roman" w:hint="eastAsia"/>
        </w:rPr>
        <w:t xml:space="preserve"> </w:t>
      </w:r>
      <w:r w:rsidRPr="009D7DF5">
        <w:rPr>
          <w:rFonts w:ascii="Times New Roman" w:hAnsi="Times New Roman" w:cs="Times New Roman"/>
        </w:rPr>
        <w:t>in the upper panel, respectively. Bars represent mean ± SE (n ≥ 3). Different lowercase letters above the bars indicate statistically significant differences among treatments according to one</w:t>
      </w:r>
      <w:r w:rsidRPr="009D7DF5">
        <w:rPr>
          <w:rFonts w:ascii="Times New Roman" w:hAnsi="Times New Roman" w:cs="Times New Roman"/>
        </w:rPr>
        <w:noBreakHyphen/>
        <w:t xml:space="preserve">way ANOVA followed by </w:t>
      </w:r>
      <w:proofErr w:type="spellStart"/>
      <w:r w:rsidRPr="009D7DF5">
        <w:rPr>
          <w:rFonts w:ascii="Times New Roman" w:hAnsi="Times New Roman" w:cs="Times New Roman"/>
        </w:rPr>
        <w:t>Tukey’s</w:t>
      </w:r>
      <w:proofErr w:type="spellEnd"/>
      <w:r w:rsidRPr="009D7DF5">
        <w:rPr>
          <w:rFonts w:ascii="Times New Roman" w:hAnsi="Times New Roman" w:cs="Times New Roman"/>
        </w:rPr>
        <w:t xml:space="preserve"> test (P &lt; 0.05).</w:t>
      </w:r>
      <w:r w:rsidRPr="009D7DF5">
        <w:rPr>
          <w:rFonts w:ascii="Times New Roman" w:hAnsi="Times New Roman" w:cs="Times New Roman"/>
        </w:rPr>
        <w:br/>
        <w:t>(F) Effects of nine differentiation media (F1–F9) on shoot induct</w:t>
      </w:r>
      <w:bookmarkStart w:id="0" w:name="_GoBack"/>
      <w:bookmarkEnd w:id="0"/>
      <w:r w:rsidRPr="009D7DF5">
        <w:rPr>
          <w:rFonts w:ascii="Times New Roman" w:hAnsi="Times New Roman" w:cs="Times New Roman"/>
        </w:rPr>
        <w:t>ion from PLBs. The upper panel shows the morphological appearance of PLBs and emerging shoots under nine different differentiation media, </w:t>
      </w:r>
      <w:r w:rsidRPr="009D7DF5">
        <w:rPr>
          <w:rFonts w:ascii="Times New Roman" w:hAnsi="Times New Roman" w:cs="Times New Roman"/>
          <w:bCs/>
        </w:rPr>
        <w:t xml:space="preserve">with culture dishes </w:t>
      </w:r>
      <w:proofErr w:type="spellStart"/>
      <w:r w:rsidRPr="009D7DF5">
        <w:rPr>
          <w:rFonts w:ascii="Times New Roman" w:hAnsi="Times New Roman" w:cs="Times New Roman"/>
          <w:bCs/>
        </w:rPr>
        <w:t>labelled</w:t>
      </w:r>
      <w:proofErr w:type="spellEnd"/>
      <w:r w:rsidRPr="009D7DF5">
        <w:rPr>
          <w:rFonts w:ascii="Times New Roman" w:hAnsi="Times New Roman" w:cs="Times New Roman"/>
          <w:bCs/>
        </w:rPr>
        <w:t xml:space="preserve"> </w:t>
      </w:r>
      <w:r>
        <w:rPr>
          <w:rFonts w:ascii="Times New Roman" w:hAnsi="Times New Roman" w:cs="Times New Roman" w:hint="eastAsia"/>
          <w:bCs/>
        </w:rPr>
        <w:t>F</w:t>
      </w:r>
      <w:r w:rsidRPr="009D7DF5">
        <w:rPr>
          <w:rFonts w:ascii="Times New Roman" w:hAnsi="Times New Roman" w:cs="Times New Roman"/>
          <w:bCs/>
        </w:rPr>
        <w:t>1–9</w:t>
      </w:r>
      <w:r w:rsidRPr="009D7DF5">
        <w:rPr>
          <w:rFonts w:ascii="Times New Roman" w:hAnsi="Times New Roman" w:cs="Times New Roman"/>
        </w:rPr>
        <w:t>, corresponding to treatments </w:t>
      </w:r>
      <w:r w:rsidRPr="009D7DF5">
        <w:rPr>
          <w:rFonts w:ascii="Times New Roman" w:hAnsi="Times New Roman" w:cs="Times New Roman"/>
          <w:bCs/>
        </w:rPr>
        <w:t>F1–F9</w:t>
      </w:r>
      <w:r w:rsidRPr="009D7DF5">
        <w:rPr>
          <w:rFonts w:ascii="Times New Roman" w:hAnsi="Times New Roman" w:cs="Times New Roman"/>
        </w:rPr>
        <w:t>, respectively. The lower bar chart shows the differentiation rate (%) for each group (F1–F9). Data are presented as mean ± SE (n ≥ 3); different lowercase letters indicate significant differences among treatments (P &lt; 0.05, one</w:t>
      </w:r>
      <w:r w:rsidRPr="009D7DF5">
        <w:rPr>
          <w:rFonts w:ascii="Times New Roman" w:hAnsi="Times New Roman" w:cs="Times New Roman"/>
        </w:rPr>
        <w:noBreakHyphen/>
        <w:t xml:space="preserve">way ANOVA, </w:t>
      </w:r>
      <w:proofErr w:type="spellStart"/>
      <w:r w:rsidRPr="009D7DF5">
        <w:rPr>
          <w:rFonts w:ascii="Times New Roman" w:hAnsi="Times New Roman" w:cs="Times New Roman"/>
        </w:rPr>
        <w:t>Tukey’s</w:t>
      </w:r>
      <w:proofErr w:type="spellEnd"/>
      <w:r w:rsidRPr="009D7DF5">
        <w:rPr>
          <w:rFonts w:ascii="Times New Roman" w:hAnsi="Times New Roman" w:cs="Times New Roman"/>
        </w:rPr>
        <w:t xml:space="preserve"> test).</w:t>
      </w:r>
      <w:r w:rsidRPr="009D7DF5">
        <w:rPr>
          <w:rFonts w:ascii="Times New Roman" w:hAnsi="Times New Roman" w:cs="Times New Roman"/>
        </w:rPr>
        <w:br/>
        <w:t>(G) Rooting and plantlet growth under different rooting media (G1–G4). The left images display representative plantlets cultured on four rooting media, </w:t>
      </w:r>
      <w:proofErr w:type="spellStart"/>
      <w:r w:rsidRPr="009D7DF5">
        <w:rPr>
          <w:rFonts w:ascii="Times New Roman" w:hAnsi="Times New Roman" w:cs="Times New Roman"/>
          <w:bCs/>
        </w:rPr>
        <w:t>labelled</w:t>
      </w:r>
      <w:proofErr w:type="spellEnd"/>
      <w:r w:rsidRPr="009D7DF5">
        <w:rPr>
          <w:rFonts w:ascii="Times New Roman" w:hAnsi="Times New Roman" w:cs="Times New Roman"/>
          <w:bCs/>
        </w:rPr>
        <w:t xml:space="preserve"> </w:t>
      </w:r>
      <w:r>
        <w:rPr>
          <w:rFonts w:ascii="Times New Roman" w:hAnsi="Times New Roman" w:cs="Times New Roman" w:hint="eastAsia"/>
          <w:bCs/>
        </w:rPr>
        <w:t>G</w:t>
      </w:r>
      <w:r w:rsidRPr="009D7DF5">
        <w:rPr>
          <w:rFonts w:ascii="Times New Roman" w:hAnsi="Times New Roman" w:cs="Times New Roman"/>
          <w:bCs/>
        </w:rPr>
        <w:t>1–4 in the photographs</w:t>
      </w:r>
      <w:r w:rsidRPr="009D7DF5">
        <w:rPr>
          <w:rFonts w:ascii="Times New Roman" w:hAnsi="Times New Roman" w:cs="Times New Roman"/>
        </w:rPr>
        <w:t>, corresponding to treatments </w:t>
      </w:r>
      <w:r w:rsidRPr="009D7DF5">
        <w:rPr>
          <w:rFonts w:ascii="Times New Roman" w:hAnsi="Times New Roman" w:cs="Times New Roman"/>
          <w:bCs/>
        </w:rPr>
        <w:t>G1–G4</w:t>
      </w:r>
      <w:r w:rsidRPr="009D7DF5">
        <w:rPr>
          <w:rFonts w:ascii="Times New Roman" w:hAnsi="Times New Roman" w:cs="Times New Roman"/>
        </w:rPr>
        <w:t>, respectively. Additional images</w:t>
      </w:r>
      <w:r>
        <w:rPr>
          <w:rFonts w:ascii="Times New Roman" w:hAnsi="Times New Roman" w:cs="Times New Roman" w:hint="eastAsia"/>
        </w:rPr>
        <w:t xml:space="preserve"> G</w:t>
      </w:r>
      <w:r w:rsidRPr="009D7DF5">
        <w:rPr>
          <w:rFonts w:ascii="Times New Roman" w:hAnsi="Times New Roman" w:cs="Times New Roman"/>
          <w:bCs/>
        </w:rPr>
        <w:t>5 and</w:t>
      </w:r>
      <w:r>
        <w:rPr>
          <w:rFonts w:ascii="Times New Roman" w:hAnsi="Times New Roman" w:cs="Times New Roman" w:hint="eastAsia"/>
          <w:bCs/>
        </w:rPr>
        <w:t xml:space="preserve"> G</w:t>
      </w:r>
      <w:r w:rsidRPr="009D7DF5">
        <w:rPr>
          <w:rFonts w:ascii="Times New Roman" w:hAnsi="Times New Roman" w:cs="Times New Roman"/>
          <w:bCs/>
        </w:rPr>
        <w:t>6</w:t>
      </w:r>
      <w:r>
        <w:rPr>
          <w:rFonts w:ascii="Times New Roman" w:hAnsi="Times New Roman" w:cs="Times New Roman" w:hint="eastAsia"/>
        </w:rPr>
        <w:t xml:space="preserve"> </w:t>
      </w:r>
      <w:r w:rsidRPr="009D7DF5">
        <w:rPr>
          <w:rFonts w:ascii="Times New Roman" w:hAnsi="Times New Roman" w:cs="Times New Roman"/>
        </w:rPr>
        <w:t xml:space="preserve">illustrate typical root systems and </w:t>
      </w:r>
      <w:proofErr w:type="spellStart"/>
      <w:r w:rsidRPr="009D7DF5">
        <w:rPr>
          <w:rFonts w:ascii="Times New Roman" w:hAnsi="Times New Roman" w:cs="Times New Roman"/>
        </w:rPr>
        <w:t>tillering</w:t>
      </w:r>
      <w:proofErr w:type="spellEnd"/>
      <w:r w:rsidRPr="009D7DF5">
        <w:rPr>
          <w:rFonts w:ascii="Times New Roman" w:hAnsi="Times New Roman" w:cs="Times New Roman"/>
        </w:rPr>
        <w:t xml:space="preserve"> performance under the optimal rooting condition. The three bar graphs on the right summarize the effects of different rooting media on root number, root length and tiller number per plant. Values are mean ± SE (n ≥ 3). Different lowercase letters indicate significant differences among treatments (P &lt; 0.05, one</w:t>
      </w:r>
      <w:r w:rsidRPr="009D7DF5">
        <w:rPr>
          <w:rFonts w:ascii="Times New Roman" w:hAnsi="Times New Roman" w:cs="Times New Roman"/>
        </w:rPr>
        <w:noBreakHyphen/>
        <w:t xml:space="preserve">way ANOVA, </w:t>
      </w:r>
      <w:proofErr w:type="spellStart"/>
      <w:r w:rsidRPr="009D7DF5">
        <w:rPr>
          <w:rFonts w:ascii="Times New Roman" w:hAnsi="Times New Roman" w:cs="Times New Roman"/>
        </w:rPr>
        <w:t>Tukey’s</w:t>
      </w:r>
      <w:proofErr w:type="spellEnd"/>
      <w:r w:rsidRPr="009D7DF5">
        <w:rPr>
          <w:rFonts w:ascii="Times New Roman" w:hAnsi="Times New Roman" w:cs="Times New Roman"/>
        </w:rPr>
        <w:t xml:space="preserve"> test).</w:t>
      </w:r>
    </w:p>
    <w:sectPr w:rsidR="009D7DF5" w:rsidRPr="009D7D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4B6" w:rsidRDefault="006554B6" w:rsidP="009D7DF5">
      <w:r>
        <w:separator/>
      </w:r>
    </w:p>
  </w:endnote>
  <w:endnote w:type="continuationSeparator" w:id="0">
    <w:p w:rsidR="006554B6" w:rsidRDefault="006554B6" w:rsidP="009D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4B6" w:rsidRDefault="006554B6" w:rsidP="009D7DF5">
      <w:r>
        <w:separator/>
      </w:r>
    </w:p>
  </w:footnote>
  <w:footnote w:type="continuationSeparator" w:id="0">
    <w:p w:rsidR="006554B6" w:rsidRDefault="006554B6" w:rsidP="009D7D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465"/>
    <w:rsid w:val="000A22E5"/>
    <w:rsid w:val="000E48A5"/>
    <w:rsid w:val="00106D66"/>
    <w:rsid w:val="001529A6"/>
    <w:rsid w:val="002700E3"/>
    <w:rsid w:val="00273465"/>
    <w:rsid w:val="002C4320"/>
    <w:rsid w:val="003666CD"/>
    <w:rsid w:val="004F083A"/>
    <w:rsid w:val="006554B6"/>
    <w:rsid w:val="009D7DF5"/>
    <w:rsid w:val="00A00204"/>
    <w:rsid w:val="00A04ECF"/>
    <w:rsid w:val="00AF421F"/>
    <w:rsid w:val="00B40BF6"/>
    <w:rsid w:val="00B6285D"/>
    <w:rsid w:val="00CE20CB"/>
    <w:rsid w:val="00F83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D7D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D7DF5"/>
    <w:rPr>
      <w:sz w:val="18"/>
      <w:szCs w:val="18"/>
    </w:rPr>
  </w:style>
  <w:style w:type="paragraph" w:styleId="a4">
    <w:name w:val="footer"/>
    <w:basedOn w:val="a"/>
    <w:link w:val="Char0"/>
    <w:uiPriority w:val="99"/>
    <w:unhideWhenUsed/>
    <w:rsid w:val="009D7DF5"/>
    <w:pPr>
      <w:tabs>
        <w:tab w:val="center" w:pos="4153"/>
        <w:tab w:val="right" w:pos="8306"/>
      </w:tabs>
      <w:snapToGrid w:val="0"/>
      <w:jc w:val="left"/>
    </w:pPr>
    <w:rPr>
      <w:sz w:val="18"/>
      <w:szCs w:val="18"/>
    </w:rPr>
  </w:style>
  <w:style w:type="character" w:customStyle="1" w:styleId="Char0">
    <w:name w:val="页脚 Char"/>
    <w:basedOn w:val="a0"/>
    <w:link w:val="a4"/>
    <w:uiPriority w:val="99"/>
    <w:rsid w:val="009D7DF5"/>
    <w:rPr>
      <w:sz w:val="18"/>
      <w:szCs w:val="18"/>
    </w:rPr>
  </w:style>
  <w:style w:type="paragraph" w:styleId="a5">
    <w:name w:val="Balloon Text"/>
    <w:basedOn w:val="a"/>
    <w:link w:val="Char1"/>
    <w:uiPriority w:val="99"/>
    <w:semiHidden/>
    <w:unhideWhenUsed/>
    <w:rsid w:val="009D7DF5"/>
    <w:rPr>
      <w:sz w:val="18"/>
      <w:szCs w:val="18"/>
    </w:rPr>
  </w:style>
  <w:style w:type="character" w:customStyle="1" w:styleId="Char1">
    <w:name w:val="批注框文本 Char"/>
    <w:basedOn w:val="a0"/>
    <w:link w:val="a5"/>
    <w:uiPriority w:val="99"/>
    <w:semiHidden/>
    <w:rsid w:val="009D7DF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D7D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D7DF5"/>
    <w:rPr>
      <w:sz w:val="18"/>
      <w:szCs w:val="18"/>
    </w:rPr>
  </w:style>
  <w:style w:type="paragraph" w:styleId="a4">
    <w:name w:val="footer"/>
    <w:basedOn w:val="a"/>
    <w:link w:val="Char0"/>
    <w:uiPriority w:val="99"/>
    <w:unhideWhenUsed/>
    <w:rsid w:val="009D7DF5"/>
    <w:pPr>
      <w:tabs>
        <w:tab w:val="center" w:pos="4153"/>
        <w:tab w:val="right" w:pos="8306"/>
      </w:tabs>
      <w:snapToGrid w:val="0"/>
      <w:jc w:val="left"/>
    </w:pPr>
    <w:rPr>
      <w:sz w:val="18"/>
      <w:szCs w:val="18"/>
    </w:rPr>
  </w:style>
  <w:style w:type="character" w:customStyle="1" w:styleId="Char0">
    <w:name w:val="页脚 Char"/>
    <w:basedOn w:val="a0"/>
    <w:link w:val="a4"/>
    <w:uiPriority w:val="99"/>
    <w:rsid w:val="009D7DF5"/>
    <w:rPr>
      <w:sz w:val="18"/>
      <w:szCs w:val="18"/>
    </w:rPr>
  </w:style>
  <w:style w:type="paragraph" w:styleId="a5">
    <w:name w:val="Balloon Text"/>
    <w:basedOn w:val="a"/>
    <w:link w:val="Char1"/>
    <w:uiPriority w:val="99"/>
    <w:semiHidden/>
    <w:unhideWhenUsed/>
    <w:rsid w:val="009D7DF5"/>
    <w:rPr>
      <w:sz w:val="18"/>
      <w:szCs w:val="18"/>
    </w:rPr>
  </w:style>
  <w:style w:type="character" w:customStyle="1" w:styleId="Char1">
    <w:name w:val="批注框文本 Char"/>
    <w:basedOn w:val="a0"/>
    <w:link w:val="a5"/>
    <w:uiPriority w:val="99"/>
    <w:semiHidden/>
    <w:rsid w:val="009D7D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2026-02-21T02:13:00Z</dcterms:created>
  <dcterms:modified xsi:type="dcterms:W3CDTF">2026-02-21T02:23:00Z</dcterms:modified>
</cp:coreProperties>
</file>